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26FAC" w14:textId="2F2288E5" w:rsidR="004C1069" w:rsidRDefault="004C1069" w:rsidP="004C1069">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 #88</w:t>
      </w:r>
      <w:r w:rsidR="00220B84">
        <w:rPr>
          <w:rFonts w:ascii="Arial" w:hAnsi="Arial" w:cs="Arial"/>
          <w:b/>
          <w:sz w:val="24"/>
          <w:szCs w:val="24"/>
        </w:rPr>
        <w:t>-bis</w:t>
      </w:r>
      <w:r>
        <w:rPr>
          <w:rFonts w:ascii="Arial" w:hAnsi="Arial" w:cs="Arial"/>
          <w:b/>
          <w:sz w:val="24"/>
          <w:szCs w:val="24"/>
        </w:rPr>
        <w:t xml:space="preserve"> </w:t>
      </w:r>
      <w:r>
        <w:rPr>
          <w:rFonts w:ascii="Arial" w:hAnsi="Arial" w:cs="Arial"/>
          <w:b/>
          <w:sz w:val="24"/>
          <w:szCs w:val="24"/>
        </w:rPr>
        <w:tab/>
      </w:r>
      <w:r w:rsidRPr="00011A76">
        <w:rPr>
          <w:rFonts w:ascii="Arial" w:hAnsi="Arial" w:cs="Arial"/>
          <w:b/>
          <w:sz w:val="24"/>
          <w:szCs w:val="24"/>
        </w:rPr>
        <w:t>R1-</w:t>
      </w:r>
      <w:r w:rsidR="000B20EC">
        <w:rPr>
          <w:rFonts w:ascii="Arial" w:hAnsi="Arial" w:cs="Arial"/>
          <w:b/>
          <w:sz w:val="24"/>
          <w:szCs w:val="24"/>
        </w:rPr>
        <w:t>1705640</w:t>
      </w:r>
    </w:p>
    <w:p w14:paraId="59B31710" w14:textId="5166BC73" w:rsidR="004C1069" w:rsidRPr="008D4186" w:rsidRDefault="004C1069" w:rsidP="004C1069">
      <w:pPr>
        <w:spacing w:after="0"/>
        <w:rPr>
          <w:rFonts w:ascii="Arial" w:hAnsi="Arial" w:cs="Arial"/>
          <w:b/>
          <w:sz w:val="22"/>
          <w:szCs w:val="24"/>
        </w:rPr>
      </w:pPr>
      <w:r>
        <w:rPr>
          <w:rFonts w:ascii="Arial" w:eastAsia="MS Mincho" w:hAnsi="Arial" w:cs="Arial" w:hint="eastAsia"/>
          <w:b/>
          <w:bCs/>
          <w:sz w:val="24"/>
        </w:rPr>
        <w:t>3</w:t>
      </w:r>
      <w:r w:rsidR="00220B84" w:rsidRPr="00220B84">
        <w:rPr>
          <w:rFonts w:ascii="Arial" w:eastAsia="MS Mincho" w:hAnsi="Arial" w:cs="Arial"/>
          <w:b/>
          <w:bCs/>
          <w:sz w:val="24"/>
          <w:vertAlign w:val="superscript"/>
        </w:rPr>
        <w:t>rd</w:t>
      </w:r>
      <w:r w:rsidR="00220B84">
        <w:rPr>
          <w:rFonts w:ascii="Arial" w:eastAsia="MS Mincho" w:hAnsi="Arial" w:cs="Arial"/>
          <w:b/>
          <w:bCs/>
          <w:sz w:val="24"/>
        </w:rPr>
        <w:t xml:space="preserve"> </w:t>
      </w:r>
      <w:r w:rsidRPr="008D4186">
        <w:rPr>
          <w:rFonts w:ascii="Arial" w:hAnsi="Arial" w:cs="Arial"/>
          <w:b/>
          <w:bCs/>
          <w:sz w:val="24"/>
        </w:rPr>
        <w:t xml:space="preserve">- </w:t>
      </w:r>
      <w:r>
        <w:rPr>
          <w:rFonts w:ascii="Arial" w:eastAsia="MS Mincho" w:hAnsi="Arial" w:cs="Arial" w:hint="eastAsia"/>
          <w:b/>
          <w:bCs/>
          <w:sz w:val="24"/>
        </w:rPr>
        <w:t>7</w:t>
      </w:r>
      <w:r w:rsidRPr="008D4186">
        <w:rPr>
          <w:rFonts w:ascii="Arial" w:hAnsi="Arial" w:cs="Arial"/>
          <w:b/>
          <w:bCs/>
          <w:sz w:val="24"/>
          <w:vertAlign w:val="superscript"/>
        </w:rPr>
        <w:t>th</w:t>
      </w:r>
      <w:r w:rsidRPr="008D4186">
        <w:rPr>
          <w:rFonts w:ascii="Arial" w:hAnsi="Arial" w:cs="Arial"/>
          <w:b/>
          <w:bCs/>
          <w:sz w:val="24"/>
        </w:rPr>
        <w:t xml:space="preserve"> </w:t>
      </w:r>
      <w:r w:rsidR="00220B84">
        <w:rPr>
          <w:rFonts w:ascii="Arial" w:hAnsi="Arial" w:cs="Arial"/>
          <w:b/>
          <w:bCs/>
          <w:sz w:val="24"/>
        </w:rPr>
        <w:t xml:space="preserve">April </w:t>
      </w:r>
      <w:r w:rsidRPr="008D4186">
        <w:rPr>
          <w:rFonts w:ascii="Arial" w:hAnsi="Arial" w:cs="Arial"/>
          <w:b/>
          <w:bCs/>
          <w:sz w:val="24"/>
        </w:rPr>
        <w:t>201</w:t>
      </w:r>
      <w:r w:rsidRPr="008D4186">
        <w:rPr>
          <w:rFonts w:ascii="Arial" w:eastAsia="MS Mincho" w:hAnsi="Arial" w:cs="Arial" w:hint="eastAsia"/>
          <w:b/>
          <w:bCs/>
          <w:sz w:val="24"/>
        </w:rPr>
        <w:t>7</w:t>
      </w:r>
    </w:p>
    <w:p w14:paraId="4688AB23" w14:textId="16204D53" w:rsidR="004C1069" w:rsidRPr="008D4186" w:rsidRDefault="00220B84" w:rsidP="004C1069">
      <w:pPr>
        <w:spacing w:after="0"/>
        <w:rPr>
          <w:rFonts w:ascii="Arial" w:hAnsi="Arial" w:cs="Arial"/>
          <w:b/>
          <w:sz w:val="22"/>
          <w:szCs w:val="24"/>
        </w:rPr>
      </w:pPr>
      <w:r>
        <w:rPr>
          <w:rFonts w:ascii="Arial" w:eastAsia="MS Mincho" w:hAnsi="Arial" w:cs="Arial"/>
          <w:b/>
          <w:bCs/>
          <w:sz w:val="24"/>
        </w:rPr>
        <w:t>Spokane, USA</w:t>
      </w:r>
    </w:p>
    <w:p w14:paraId="7F3BF13E" w14:textId="77777777" w:rsidR="009F0E50" w:rsidRPr="009F0E50" w:rsidRDefault="009F0E50" w:rsidP="009F0E50">
      <w:pPr>
        <w:spacing w:after="0"/>
        <w:jc w:val="both"/>
        <w:rPr>
          <w:rFonts w:ascii="Arial" w:hAnsi="Arial" w:cs="Arial"/>
          <w:b/>
          <w:sz w:val="24"/>
          <w:szCs w:val="24"/>
        </w:rPr>
      </w:pPr>
    </w:p>
    <w:p w14:paraId="7F3BF13F" w14:textId="018EB47C"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9D1011">
        <w:rPr>
          <w:rFonts w:ascii="Arial" w:hAnsi="Arial" w:cs="Arial"/>
          <w:sz w:val="24"/>
        </w:rPr>
        <w:t xml:space="preserve">  </w:t>
      </w:r>
      <w:r w:rsidR="00C863A9">
        <w:rPr>
          <w:rFonts w:ascii="Arial" w:hAnsi="Arial" w:cs="Arial"/>
          <w:sz w:val="24"/>
        </w:rPr>
        <w:t>8</w:t>
      </w:r>
      <w:r w:rsidR="00B05556">
        <w:rPr>
          <w:rFonts w:ascii="Arial" w:hAnsi="Arial" w:cs="Arial"/>
          <w:sz w:val="24"/>
        </w:rPr>
        <w:t>.</w:t>
      </w:r>
      <w:r w:rsidR="00A370BD" w:rsidRPr="009D1011">
        <w:rPr>
          <w:rFonts w:ascii="Arial" w:hAnsi="Arial" w:cs="Arial"/>
          <w:sz w:val="24"/>
        </w:rPr>
        <w:t>1.</w:t>
      </w:r>
      <w:r w:rsidR="00C863A9">
        <w:rPr>
          <w:rFonts w:ascii="Arial" w:hAnsi="Arial" w:cs="Arial"/>
          <w:sz w:val="24"/>
        </w:rPr>
        <w:t>6</w:t>
      </w:r>
      <w:r w:rsidR="00473F6F">
        <w:rPr>
          <w:rFonts w:ascii="Arial" w:hAnsi="Arial" w:cs="Arial"/>
          <w:sz w:val="24"/>
        </w:rPr>
        <w:t>.</w:t>
      </w:r>
      <w:r w:rsidR="000B20EC">
        <w:rPr>
          <w:rFonts w:ascii="Arial" w:hAnsi="Arial" w:cs="Arial"/>
          <w:sz w:val="24"/>
        </w:rPr>
        <w:t>1</w:t>
      </w:r>
    </w:p>
    <w:p w14:paraId="7F3BF140" w14:textId="77777777"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9D1011">
        <w:rPr>
          <w:rFonts w:ascii="Arial" w:hAnsi="Arial" w:cs="Arial"/>
          <w:b/>
          <w:sz w:val="24"/>
          <w:lang w:eastAsia="en-US"/>
        </w:rPr>
        <w:t xml:space="preserve">   </w:t>
      </w:r>
      <w:r w:rsidRPr="009D1011">
        <w:rPr>
          <w:rFonts w:ascii="Arial" w:hAnsi="Arial" w:cs="Arial"/>
          <w:sz w:val="24"/>
        </w:rPr>
        <w:t>Qualcomm Incorporated</w:t>
      </w:r>
    </w:p>
    <w:p w14:paraId="7F3BF141" w14:textId="2797476D" w:rsidR="00B05556" w:rsidRDefault="00E66D09" w:rsidP="00E45C27">
      <w:pPr>
        <w:rPr>
          <w:rFonts w:ascii="Arial" w:hAnsi="Arial" w:cs="Arial"/>
          <w:b/>
          <w:sz w:val="24"/>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B05556" w:rsidRPr="00220B84">
        <w:rPr>
          <w:rFonts w:ascii="Arial" w:hAnsi="Arial" w:cs="Arial"/>
          <w:sz w:val="22"/>
          <w:lang w:eastAsia="en-US"/>
        </w:rPr>
        <w:t xml:space="preserve">Dynamic TDD </w:t>
      </w:r>
      <w:r w:rsidR="00220B84" w:rsidRPr="00220B84">
        <w:rPr>
          <w:rFonts w:ascii="Arial" w:hAnsi="Arial" w:cs="Arial"/>
          <w:sz w:val="22"/>
          <w:lang w:eastAsia="en-US"/>
        </w:rPr>
        <w:t xml:space="preserve">data channel </w:t>
      </w:r>
      <w:r w:rsidR="00B05556" w:rsidRPr="00220B84">
        <w:rPr>
          <w:rFonts w:ascii="Arial" w:hAnsi="Arial" w:cs="Arial"/>
          <w:sz w:val="22"/>
          <w:lang w:eastAsia="en-US"/>
        </w:rPr>
        <w:t>interference management considerations</w:t>
      </w:r>
      <w:r w:rsidR="00B05556" w:rsidRPr="00220B84">
        <w:rPr>
          <w:rFonts w:ascii="Arial" w:hAnsi="Arial" w:cs="Arial"/>
          <w:b/>
          <w:sz w:val="22"/>
          <w:lang w:eastAsia="en-US"/>
        </w:rPr>
        <w:t xml:space="preserve"> </w:t>
      </w:r>
    </w:p>
    <w:p w14:paraId="7F3BF142" w14:textId="7CED8ABD"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767083" w:rsidRPr="009D1011">
        <w:rPr>
          <w:rFonts w:ascii="Arial" w:hAnsi="Arial" w:cs="Arial"/>
          <w:sz w:val="24"/>
          <w:lang w:eastAsia="en-US"/>
        </w:rPr>
        <w:t>Discuss</w:t>
      </w:r>
      <w:r w:rsidR="000B20EC">
        <w:rPr>
          <w:rFonts w:ascii="Arial" w:hAnsi="Arial" w:cs="Arial"/>
          <w:sz w:val="24"/>
          <w:lang w:eastAsia="en-US"/>
        </w:rPr>
        <w:t>ion</w:t>
      </w:r>
      <w:r w:rsidR="00767083" w:rsidRPr="009D1011">
        <w:rPr>
          <w:rFonts w:ascii="Arial" w:hAnsi="Arial" w:cs="Arial"/>
          <w:sz w:val="24"/>
          <w:lang w:eastAsia="en-US"/>
        </w:rPr>
        <w:t>/Decision</w:t>
      </w:r>
    </w:p>
    <w:p w14:paraId="7F3BF143" w14:textId="77777777" w:rsidR="00CD1FF7" w:rsidRDefault="00CD1FF7" w:rsidP="00742B12">
      <w:pPr>
        <w:pStyle w:val="Heading1"/>
      </w:pPr>
      <w:r>
        <w:t xml:space="preserve">1. </w:t>
      </w:r>
      <w:r>
        <w:tab/>
        <w:t>Introduction</w:t>
      </w:r>
    </w:p>
    <w:p w14:paraId="5D1D6551" w14:textId="77777777" w:rsidR="0083322F" w:rsidRDefault="0083322F" w:rsidP="0083322F">
      <w:pPr>
        <w:pStyle w:val="BodyText"/>
      </w:pPr>
      <w:r>
        <w:t xml:space="preserve">Cellular system can be deployed, typically, in two different ways in terms of the spectrum allocation, i.e. FDD deployment in paired spectrum and TDD deployment in un-paired spectrum. As NR deployment moves towards high frequency band and wider bandwidth, TDD deployment may be the more important topic for study due to more availability of unpaired spectrum. Another advantage of TDD deployment is that DL and UL resource can be more dynamically allocated, i.e. dynamic TDD, to adapt to the variation of asymmetry between UL and DL traffic load. </w:t>
      </w:r>
    </w:p>
    <w:p w14:paraId="4BC4B169" w14:textId="77777777" w:rsidR="0083322F" w:rsidRDefault="0083322F" w:rsidP="0083322F">
      <w:pPr>
        <w:pStyle w:val="BodyText"/>
      </w:pPr>
      <w:r>
        <w:t>Dynamic TDD study (eIMTA [1]) has been carried out for LTE TDD. It has its own limitation in the areas such as supporting fast DL/UL switch to provide better service with low latency requirement and supporting better interference mitigation. For 5G NR, dynamic TDD design can benefit from a clean slate design and provide more robust interference management as well as fast and more efficient adaption to the variation in DL and UL traffic.</w:t>
      </w:r>
    </w:p>
    <w:p w14:paraId="53D6F2F1" w14:textId="77777777" w:rsidR="0083322F" w:rsidRDefault="0083322F" w:rsidP="0083322F">
      <w:pPr>
        <w:pStyle w:val="BodyText"/>
      </w:pPr>
      <w:r>
        <w:t>The following agreement has been reached in RAN1 #87 meeting [2]</w:t>
      </w:r>
    </w:p>
    <w:p w14:paraId="7832F3AB" w14:textId="77777777" w:rsidR="0083322F" w:rsidRPr="00405383" w:rsidRDefault="0083322F" w:rsidP="0083322F">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NR should support dynamically assigned DL and UL transmission directions at least for data on a per-slot basis at least in a TDM manner</w:t>
      </w:r>
    </w:p>
    <w:p w14:paraId="55BAEB72" w14:textId="77777777" w:rsidR="0083322F" w:rsidRPr="00405383" w:rsidRDefault="0083322F" w:rsidP="0083322F">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control signaling details (e.g. UE or cell-specific, applicable for cross and/or same-slot scheduling, switching between dynamic and semi-static operation, etc.)</w:t>
      </w:r>
    </w:p>
    <w:p w14:paraId="7EE745DC" w14:textId="77777777" w:rsidR="0083322F" w:rsidRPr="00405383" w:rsidRDefault="0083322F" w:rsidP="0083322F">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adaptation at the level of a mini-slot</w:t>
      </w:r>
    </w:p>
    <w:p w14:paraId="096FF3C6" w14:textId="77777777" w:rsidR="0083322F" w:rsidRPr="00405383" w:rsidRDefault="0083322F" w:rsidP="0083322F">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Other aspects, if any, are not excluded</w:t>
      </w:r>
    </w:p>
    <w:p w14:paraId="26E7A74E" w14:textId="77777777" w:rsidR="0083322F" w:rsidRPr="00405383" w:rsidRDefault="0083322F" w:rsidP="0083322F">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Note: the applicability of the above bullets in terms of spectra is a separate discussion</w:t>
      </w:r>
    </w:p>
    <w:p w14:paraId="200A33E7" w14:textId="77777777" w:rsidR="0083322F" w:rsidRDefault="0083322F" w:rsidP="0083322F">
      <w:pPr>
        <w:pStyle w:val="BodyText"/>
      </w:pPr>
    </w:p>
    <w:p w14:paraId="4275F338" w14:textId="77777777" w:rsidR="0083322F" w:rsidRDefault="0083322F" w:rsidP="0083322F">
      <w:pPr>
        <w:pStyle w:val="BodyText"/>
      </w:pPr>
      <w:r>
        <w:t xml:space="preserve">Furthermore, the performance evaluation results of a variety of interference mitigation schemes were discussed in RAN1 #88, and it was agreed that duplexing flexibility with cross-link interference mitigation provides improvement in UPT over </w:t>
      </w:r>
      <w:r w:rsidRPr="00A12D9D">
        <w:rPr>
          <w:rFonts w:eastAsia="MS Mincho"/>
          <w:lang w:val="en-US"/>
        </w:rPr>
        <w:t xml:space="preserve">static UL/DL resource partition and </w:t>
      </w:r>
      <w:r>
        <w:rPr>
          <w:rFonts w:eastAsia="MS Mincho"/>
          <w:lang w:val="en-US"/>
        </w:rPr>
        <w:t xml:space="preserve">over </w:t>
      </w:r>
      <w:r w:rsidRPr="00A12D9D">
        <w:rPr>
          <w:rFonts w:eastAsia="MS Mincho"/>
          <w:lang w:val="en-US"/>
        </w:rPr>
        <w:t>duplexing flexibility without cross-link interference mitigation schemes</w:t>
      </w:r>
      <w:r>
        <w:rPr>
          <w:rFonts w:eastAsia="MS Mincho"/>
          <w:lang w:val="en-US"/>
        </w:rPr>
        <w:t xml:space="preserve"> [3].</w:t>
      </w:r>
    </w:p>
    <w:p w14:paraId="46B24AE6" w14:textId="72C93B5D" w:rsidR="0013603F" w:rsidRDefault="0083322F" w:rsidP="0083322F">
      <w:pPr>
        <w:pStyle w:val="BodyText"/>
      </w:pPr>
      <w:r>
        <w:t>In this contribution, we consider approaches for dynamic TDD interference management for data channel interference management.</w:t>
      </w:r>
    </w:p>
    <w:p w14:paraId="4DD427A9" w14:textId="77777777" w:rsidR="006D4DB1" w:rsidRDefault="00705C15" w:rsidP="00705C15">
      <w:pPr>
        <w:pStyle w:val="Heading1"/>
      </w:pPr>
      <w:r>
        <w:t xml:space="preserve">2. </w:t>
      </w:r>
      <w:r>
        <w:tab/>
      </w:r>
      <w:r w:rsidR="006D4DB1">
        <w:t>Dynamic TDD cross link interference description</w:t>
      </w:r>
    </w:p>
    <w:p w14:paraId="46CBF529" w14:textId="77777777" w:rsidR="00DF0DD0" w:rsidRDefault="00DF0DD0" w:rsidP="00DF0DD0">
      <w:r>
        <w:t xml:space="preserve">In Dynamic TDD, </w:t>
      </w:r>
      <w:r>
        <w:rPr>
          <w:lang w:val="en-US" w:eastAsia="zh-CN"/>
        </w:rPr>
        <w:t xml:space="preserve">as each gNB switches its DL/UL directions, one of the most important issues to solve is Cross Link Interference (CLI) management. Figure 1 illustrates two </w:t>
      </w:r>
      <w:r>
        <w:t>typical interference scenarios. In this illustration, BS1 transmits on DL to UE1, while UE2 transmits on UL to BS2.</w:t>
      </w:r>
    </w:p>
    <w:p w14:paraId="19890112" w14:textId="77777777" w:rsidR="00DF0DD0" w:rsidRDefault="00DF0DD0" w:rsidP="00DF0DD0">
      <w:pPr>
        <w:numPr>
          <w:ilvl w:val="0"/>
          <w:numId w:val="4"/>
        </w:numPr>
      </w:pPr>
      <w:r>
        <w:t>At BS2 Rx, the signals received from BS1 can cause large interference to the desired signal from UE2.</w:t>
      </w:r>
    </w:p>
    <w:p w14:paraId="37FAD4B3" w14:textId="77777777" w:rsidR="00DF0DD0" w:rsidRDefault="00DF0DD0" w:rsidP="00DF0DD0">
      <w:pPr>
        <w:numPr>
          <w:ilvl w:val="0"/>
          <w:numId w:val="4"/>
        </w:numPr>
      </w:pPr>
      <w:r>
        <w:t>At UE1 Rx, the signals received from UE1 can cause large interference to the desired signal from BS1.</w:t>
      </w:r>
    </w:p>
    <w:p w14:paraId="2CBEA39B" w14:textId="77777777" w:rsidR="00DF0DD0" w:rsidRDefault="00DF0DD0" w:rsidP="00DF0DD0">
      <w:r>
        <w:t>The severity of the interference depends on a few factors:</w:t>
      </w:r>
      <w:bookmarkStart w:id="0" w:name="_GoBack"/>
      <w:bookmarkEnd w:id="0"/>
    </w:p>
    <w:p w14:paraId="28973D36" w14:textId="77777777" w:rsidR="00DF0DD0" w:rsidRDefault="00DF0DD0" w:rsidP="00DF0DD0">
      <w:pPr>
        <w:numPr>
          <w:ilvl w:val="0"/>
          <w:numId w:val="5"/>
        </w:numPr>
      </w:pPr>
      <w:r>
        <w:lastRenderedPageBreak/>
        <w:t>The difference between the pathloss/instantaneous channel strength between the victim link and the cross link interference link</w:t>
      </w:r>
    </w:p>
    <w:p w14:paraId="4D141A88" w14:textId="77777777" w:rsidR="00DF0DD0" w:rsidRDefault="00DF0DD0" w:rsidP="00DF0DD0">
      <w:pPr>
        <w:numPr>
          <w:ilvl w:val="0"/>
          <w:numId w:val="5"/>
        </w:numPr>
      </w:pPr>
      <w:r>
        <w:t>The difference between the transmit power of Tx in the victim link and Tx in the cross link interference link</w:t>
      </w:r>
    </w:p>
    <w:p w14:paraId="174AAC0D" w14:textId="77777777" w:rsidR="00DF0DD0" w:rsidRDefault="00DF0DD0" w:rsidP="00DF0DD0">
      <w:pPr>
        <w:numPr>
          <w:ilvl w:val="0"/>
          <w:numId w:val="5"/>
        </w:numPr>
      </w:pPr>
      <w:r>
        <w:t>The MCS used for the data/control transmission</w:t>
      </w:r>
    </w:p>
    <w:p w14:paraId="26B71DA1" w14:textId="77777777" w:rsidR="00DF0DD0" w:rsidRDefault="00DF0DD0" w:rsidP="00DF0DD0">
      <w:r>
        <w:t>From a high level, below is a general observation:</w:t>
      </w:r>
    </w:p>
    <w:p w14:paraId="59F87816" w14:textId="77777777" w:rsidR="00DF0DD0" w:rsidRDefault="00DF0DD0" w:rsidP="00DF0DD0">
      <w:pPr>
        <w:numPr>
          <w:ilvl w:val="0"/>
          <w:numId w:val="6"/>
        </w:numPr>
      </w:pPr>
      <w:r>
        <w:t>Interference caused by BS1 Tx to BS2 Rx could potentially be very detrimental, because of at least two reasons. First reason is that the transmit power difference between the BS and UE can be very large. The second reason is that path loss between BS’s can be much closer to the free space path loss due to the height of BS and higher probability of LOS.</w:t>
      </w:r>
    </w:p>
    <w:p w14:paraId="2C23D296" w14:textId="77777777" w:rsidR="00DF0DD0" w:rsidRDefault="00DF0DD0" w:rsidP="00DF0DD0">
      <w:pPr>
        <w:numPr>
          <w:ilvl w:val="0"/>
          <w:numId w:val="6"/>
        </w:numPr>
      </w:pPr>
      <w:r>
        <w:t xml:space="preserve">Interference caused by UE2 Tx to UE1 Rx can be severe as well, especially when UE1 and UE2 is very close to each other and far away from its serving cell (i.e. both at the cell edge). </w:t>
      </w:r>
    </w:p>
    <w:p w14:paraId="7EF1755E" w14:textId="77777777" w:rsidR="00E203F1" w:rsidRDefault="00E203F1" w:rsidP="00E203F1">
      <w:pPr>
        <w:keepNext/>
        <w:jc w:val="center"/>
      </w:pPr>
      <w:r w:rsidRPr="006470CC">
        <w:rPr>
          <w:noProof/>
          <w:lang w:val="en-US" w:eastAsia="en-US"/>
        </w:rPr>
        <w:drawing>
          <wp:inline distT="0" distB="0" distL="0" distR="0" wp14:anchorId="56A7271F" wp14:editId="6594ACF2">
            <wp:extent cx="3931920" cy="3421380"/>
            <wp:effectExtent l="0" t="0" r="0" b="762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3421380"/>
                    </a:xfrm>
                    <a:prstGeom prst="rect">
                      <a:avLst/>
                    </a:prstGeom>
                    <a:noFill/>
                    <a:ln>
                      <a:noFill/>
                    </a:ln>
                  </pic:spPr>
                </pic:pic>
              </a:graphicData>
            </a:graphic>
          </wp:inline>
        </w:drawing>
      </w:r>
    </w:p>
    <w:p w14:paraId="1030A1EB" w14:textId="19E53787" w:rsidR="00E203F1" w:rsidRDefault="00E203F1" w:rsidP="00E203F1">
      <w:pPr>
        <w:pStyle w:val="Caption"/>
        <w:jc w:val="center"/>
      </w:pPr>
      <w:bookmarkStart w:id="1" w:name="_Ref462308300"/>
      <w:r>
        <w:t xml:space="preserve">Figure </w:t>
      </w:r>
      <w:r>
        <w:fldChar w:fldCharType="begin"/>
      </w:r>
      <w:r>
        <w:instrText xml:space="preserve"> SEQ Figure \* ARABIC </w:instrText>
      </w:r>
      <w:r>
        <w:fldChar w:fldCharType="separate"/>
      </w:r>
      <w:r w:rsidR="005901E5">
        <w:rPr>
          <w:noProof/>
        </w:rPr>
        <w:t>1</w:t>
      </w:r>
      <w:r>
        <w:fldChar w:fldCharType="end"/>
      </w:r>
      <w:bookmarkEnd w:id="1"/>
      <w:r>
        <w:t xml:space="preserve"> Dynamic TDD interference scenarios</w:t>
      </w:r>
    </w:p>
    <w:p w14:paraId="7D072337" w14:textId="44C30AAF" w:rsidR="00B1114C" w:rsidRDefault="00DF0DD0" w:rsidP="00535FF6">
      <w:r>
        <w:t>With dynamic TDD, cross link interference between DL and UL is inevitable. Interference management is crucial for dynamic TDD to provide performance improvement.</w:t>
      </w:r>
    </w:p>
    <w:p w14:paraId="7F3BF14F" w14:textId="509EFCC7" w:rsidR="00C37072" w:rsidRDefault="00535FF6" w:rsidP="00A711D4">
      <w:pPr>
        <w:pStyle w:val="Heading1"/>
      </w:pPr>
      <w:r>
        <w:t>3</w:t>
      </w:r>
      <w:r w:rsidR="002D4766">
        <w:t xml:space="preserve">. </w:t>
      </w:r>
      <w:r w:rsidR="002D4766">
        <w:tab/>
      </w:r>
      <w:r w:rsidR="00C37072">
        <w:t xml:space="preserve">Dynamic TDD </w:t>
      </w:r>
      <w:r w:rsidR="00D303CC">
        <w:t>data</w:t>
      </w:r>
      <w:r w:rsidR="00C015EC">
        <w:t xml:space="preserve"> channel interference </w:t>
      </w:r>
      <w:r w:rsidR="00F0702E">
        <w:t>management</w:t>
      </w:r>
      <w:r w:rsidR="00C015EC">
        <w:t xml:space="preserve"> </w:t>
      </w:r>
    </w:p>
    <w:p w14:paraId="232EF000" w14:textId="38B2CFC0" w:rsidR="00B97C1B" w:rsidRDefault="00E85F8C" w:rsidP="00E85F8C">
      <w:r>
        <w:t xml:space="preserve">For dynamic TDD operation, </w:t>
      </w:r>
      <w:r w:rsidR="005F7BEE">
        <w:t>cross-link</w:t>
      </w:r>
      <w:r>
        <w:t xml:space="preserve"> interference </w:t>
      </w:r>
      <w:r w:rsidR="005F7BEE">
        <w:t xml:space="preserve">(CLI) </w:t>
      </w:r>
      <w:r>
        <w:t xml:space="preserve">between data in different directions (DL/UL) is inevitable. </w:t>
      </w:r>
      <w:r w:rsidR="00B97C1B">
        <w:t>On one side, dynamic TDD allows fast adaption to the inst</w:t>
      </w:r>
      <w:r w:rsidR="005F7BEE">
        <w:t>antaneous traffic load on DL/UL and</w:t>
      </w:r>
      <w:r w:rsidR="00B97C1B">
        <w:t xml:space="preserve"> hence improves the user experience. On the other side, without</w:t>
      </w:r>
      <w:r w:rsidR="005F7BEE">
        <w:t xml:space="preserve"> carefully managing</w:t>
      </w:r>
      <w:r w:rsidR="00B97C1B">
        <w:t xml:space="preserve"> the interference between different links, dynamic TDD performance may deteriorate as show in our performance analysis contribution [4].</w:t>
      </w:r>
    </w:p>
    <w:p w14:paraId="01377AE4" w14:textId="1FD8A1F5" w:rsidR="005F7BEE" w:rsidRDefault="005F7BEE" w:rsidP="00E85F8C">
      <w:r>
        <w:t xml:space="preserve">As an illustration, the following plots </w:t>
      </w:r>
      <w:r w:rsidR="005901E5">
        <w:t>(</w:t>
      </w:r>
      <w:r w:rsidR="005901E5">
        <w:fldChar w:fldCharType="begin"/>
      </w:r>
      <w:r w:rsidR="005901E5">
        <w:instrText xml:space="preserve"> REF _Ref478120468 \h </w:instrText>
      </w:r>
      <w:r w:rsidR="005901E5">
        <w:fldChar w:fldCharType="separate"/>
      </w:r>
      <w:r w:rsidR="005901E5" w:rsidRPr="004616A1">
        <w:rPr>
          <w:b/>
          <w:color w:val="auto"/>
        </w:rPr>
        <w:t xml:space="preserve">Figure </w:t>
      </w:r>
      <w:r w:rsidR="005901E5">
        <w:rPr>
          <w:noProof/>
          <w:color w:val="auto"/>
        </w:rPr>
        <w:t>2</w:t>
      </w:r>
      <w:r w:rsidR="005901E5">
        <w:fldChar w:fldCharType="end"/>
      </w:r>
      <w:r w:rsidR="005901E5">
        <w:t xml:space="preserve"> and </w:t>
      </w:r>
      <w:r w:rsidR="005901E5">
        <w:fldChar w:fldCharType="begin"/>
      </w:r>
      <w:r w:rsidR="005901E5">
        <w:instrText xml:space="preserve"> REF _Ref478120456 \h </w:instrText>
      </w:r>
      <w:r w:rsidR="005901E5">
        <w:fldChar w:fldCharType="separate"/>
      </w:r>
      <w:r w:rsidR="005901E5" w:rsidRPr="004616A1">
        <w:rPr>
          <w:b/>
          <w:color w:val="auto"/>
        </w:rPr>
        <w:t xml:space="preserve">Figure </w:t>
      </w:r>
      <w:r w:rsidR="005901E5">
        <w:rPr>
          <w:noProof/>
          <w:color w:val="auto"/>
        </w:rPr>
        <w:t>3</w:t>
      </w:r>
      <w:r w:rsidR="005901E5">
        <w:fldChar w:fldCharType="end"/>
      </w:r>
      <w:r w:rsidR="005901E5">
        <w:t xml:space="preserve">) </w:t>
      </w:r>
      <w:r>
        <w:t xml:space="preserve">from </w:t>
      </w:r>
      <w:r>
        <w:fldChar w:fldCharType="begin"/>
      </w:r>
      <w:r>
        <w:instrText xml:space="preserve"> REF _Ref478120193 \r \h </w:instrText>
      </w:r>
      <w:r>
        <w:fldChar w:fldCharType="separate"/>
      </w:r>
      <w:r w:rsidR="005901E5">
        <w:t>[4]</w:t>
      </w:r>
      <w:r>
        <w:fldChar w:fldCharType="end"/>
      </w:r>
      <w:r>
        <w:t xml:space="preserve"> demonstrate that the dynamic TDD scheme (shown as “Intf-aware” in the plots), which incorporates the knowledge about cross-link interference, provides significant performance gains </w:t>
      </w:r>
      <w:r w:rsidR="00007268">
        <w:t xml:space="preserve">in terms of DL and UL UPT </w:t>
      </w:r>
      <w:r>
        <w:t xml:space="preserve">at low loads, similar to the greedy </w:t>
      </w:r>
      <w:r>
        <w:lastRenderedPageBreak/>
        <w:t>approach. Moreover at high loads, the interference-aware scheme is able to manage cross-link interference and therefore prevents performance degradation. In comparison, the greedy approach shows significant performance degradation at high loading since it does not incorporate knowledge of the interference environment.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5F7BEE" w14:paraId="1216CC49" w14:textId="77777777" w:rsidTr="003D4714">
        <w:trPr>
          <w:jc w:val="center"/>
        </w:trPr>
        <w:tc>
          <w:tcPr>
            <w:tcW w:w="4981" w:type="dxa"/>
          </w:tcPr>
          <w:p w14:paraId="0480A5A7" w14:textId="77777777" w:rsidR="005F7BEE" w:rsidRDefault="005F7BEE" w:rsidP="003D4714">
            <w:pPr>
              <w:keepNext/>
              <w:jc w:val="center"/>
            </w:pPr>
            <w:r>
              <w:rPr>
                <w:noProof/>
                <w:lang w:val="en-US" w:eastAsia="en-US"/>
              </w:rPr>
              <w:drawing>
                <wp:inline distT="0" distB="0" distL="0" distR="0" wp14:anchorId="0FA7BD4D" wp14:editId="3115EFF7">
                  <wp:extent cx="2743200" cy="22500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250020"/>
                          </a:xfrm>
                          <a:prstGeom prst="rect">
                            <a:avLst/>
                          </a:prstGeom>
                          <a:noFill/>
                        </pic:spPr>
                      </pic:pic>
                    </a:graphicData>
                  </a:graphic>
                </wp:inline>
              </w:drawing>
            </w:r>
          </w:p>
          <w:p w14:paraId="565F99C2" w14:textId="7CD4D581" w:rsidR="005F7BEE" w:rsidRPr="00F44CD8" w:rsidRDefault="005F7BEE" w:rsidP="003D4714">
            <w:pPr>
              <w:pStyle w:val="Caption"/>
              <w:jc w:val="center"/>
              <w:rPr>
                <w:b w:val="0"/>
                <w:i/>
                <w:sz w:val="24"/>
              </w:rPr>
            </w:pPr>
            <w:bookmarkStart w:id="2" w:name="_Ref478120468"/>
            <w:r w:rsidRPr="004616A1">
              <w:rPr>
                <w:color w:val="auto"/>
              </w:rPr>
              <w:t xml:space="preserve">Figure </w:t>
            </w:r>
            <w:r w:rsidRPr="004616A1">
              <w:rPr>
                <w:b w:val="0"/>
                <w:i/>
                <w:color w:val="auto"/>
              </w:rPr>
              <w:fldChar w:fldCharType="begin"/>
            </w:r>
            <w:r w:rsidRPr="004616A1">
              <w:rPr>
                <w:color w:val="auto"/>
              </w:rPr>
              <w:instrText xml:space="preserve"> SEQ Figure \* ARABIC </w:instrText>
            </w:r>
            <w:r w:rsidRPr="004616A1">
              <w:rPr>
                <w:b w:val="0"/>
                <w:i/>
                <w:color w:val="auto"/>
              </w:rPr>
              <w:fldChar w:fldCharType="separate"/>
            </w:r>
            <w:r w:rsidR="005901E5">
              <w:rPr>
                <w:noProof/>
                <w:color w:val="auto"/>
              </w:rPr>
              <w:t>2</w:t>
            </w:r>
            <w:r w:rsidRPr="004616A1">
              <w:rPr>
                <w:b w:val="0"/>
                <w:i/>
                <w:color w:val="auto"/>
              </w:rPr>
              <w:fldChar w:fldCharType="end"/>
            </w:r>
            <w:bookmarkEnd w:id="2"/>
            <w:r w:rsidRPr="004616A1">
              <w:rPr>
                <w:color w:val="auto"/>
              </w:rPr>
              <w:t>: Median DL UPT vs. load</w:t>
            </w:r>
          </w:p>
        </w:tc>
        <w:tc>
          <w:tcPr>
            <w:tcW w:w="4981" w:type="dxa"/>
          </w:tcPr>
          <w:p w14:paraId="2C9A9A1E" w14:textId="77777777" w:rsidR="005F7BEE" w:rsidRDefault="005F7BEE" w:rsidP="003D4714">
            <w:pPr>
              <w:keepNext/>
              <w:jc w:val="center"/>
            </w:pPr>
            <w:r>
              <w:rPr>
                <w:noProof/>
                <w:lang w:val="en-US" w:eastAsia="en-US"/>
              </w:rPr>
              <w:drawing>
                <wp:inline distT="0" distB="0" distL="0" distR="0" wp14:anchorId="31A3AB07" wp14:editId="6EE4EC47">
                  <wp:extent cx="2743200" cy="22500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250020"/>
                          </a:xfrm>
                          <a:prstGeom prst="rect">
                            <a:avLst/>
                          </a:prstGeom>
                          <a:noFill/>
                        </pic:spPr>
                      </pic:pic>
                    </a:graphicData>
                  </a:graphic>
                </wp:inline>
              </w:drawing>
            </w:r>
          </w:p>
          <w:p w14:paraId="4217474A" w14:textId="1DCCB289" w:rsidR="005F7BEE" w:rsidRPr="00F44CD8" w:rsidRDefault="005F7BEE" w:rsidP="003D4714">
            <w:pPr>
              <w:pStyle w:val="Caption"/>
              <w:jc w:val="center"/>
              <w:rPr>
                <w:b w:val="0"/>
                <w:i/>
                <w:sz w:val="24"/>
              </w:rPr>
            </w:pPr>
            <w:bookmarkStart w:id="3" w:name="_Ref478120456"/>
            <w:r w:rsidRPr="004616A1">
              <w:rPr>
                <w:color w:val="auto"/>
              </w:rPr>
              <w:t xml:space="preserve">Figure </w:t>
            </w:r>
            <w:r w:rsidRPr="004616A1">
              <w:rPr>
                <w:b w:val="0"/>
                <w:i/>
                <w:color w:val="auto"/>
              </w:rPr>
              <w:fldChar w:fldCharType="begin"/>
            </w:r>
            <w:r w:rsidRPr="004616A1">
              <w:rPr>
                <w:color w:val="auto"/>
              </w:rPr>
              <w:instrText xml:space="preserve"> SEQ Figure \* ARABIC </w:instrText>
            </w:r>
            <w:r w:rsidRPr="004616A1">
              <w:rPr>
                <w:b w:val="0"/>
                <w:i/>
                <w:color w:val="auto"/>
              </w:rPr>
              <w:fldChar w:fldCharType="separate"/>
            </w:r>
            <w:r w:rsidR="005901E5">
              <w:rPr>
                <w:noProof/>
                <w:color w:val="auto"/>
              </w:rPr>
              <w:t>3</w:t>
            </w:r>
            <w:r w:rsidRPr="004616A1">
              <w:rPr>
                <w:b w:val="0"/>
                <w:i/>
                <w:color w:val="auto"/>
              </w:rPr>
              <w:fldChar w:fldCharType="end"/>
            </w:r>
            <w:bookmarkEnd w:id="3"/>
            <w:r w:rsidRPr="004616A1">
              <w:rPr>
                <w:color w:val="auto"/>
              </w:rPr>
              <w:t>: Median UL UPT vs. load</w:t>
            </w:r>
          </w:p>
        </w:tc>
      </w:tr>
    </w:tbl>
    <w:p w14:paraId="3ED8CFD1" w14:textId="6FD95FA7" w:rsidR="005F7BEE" w:rsidRDefault="005F7BEE" w:rsidP="00E85F8C">
      <w:r>
        <w:t xml:space="preserve"> </w:t>
      </w:r>
    </w:p>
    <w:p w14:paraId="7F3BF15C" w14:textId="67390853" w:rsidR="009B64B2" w:rsidRDefault="009B64B2" w:rsidP="009B64B2">
      <w:r>
        <w:t>We envision that there are at least two types of interference management solution</w:t>
      </w:r>
      <w:r w:rsidR="00007268">
        <w:t>s</w:t>
      </w:r>
      <w:r>
        <w:t>, namely</w:t>
      </w:r>
    </w:p>
    <w:p w14:paraId="7F3BF15D" w14:textId="77777777" w:rsidR="009B64B2" w:rsidRDefault="009B64B2" w:rsidP="009B64B2">
      <w:pPr>
        <w:numPr>
          <w:ilvl w:val="0"/>
          <w:numId w:val="7"/>
        </w:numPr>
      </w:pPr>
      <w:r>
        <w:t xml:space="preserve">Interference suppression </w:t>
      </w:r>
    </w:p>
    <w:p w14:paraId="7F3BF15E" w14:textId="625C5F3A" w:rsidR="009B64B2" w:rsidRDefault="009B64B2" w:rsidP="009B64B2">
      <w:pPr>
        <w:numPr>
          <w:ilvl w:val="0"/>
          <w:numId w:val="7"/>
        </w:numPr>
      </w:pPr>
      <w:r>
        <w:t>Sched</w:t>
      </w:r>
      <w:r w:rsidR="00007268">
        <w:t>uling/transmission coordination</w:t>
      </w:r>
    </w:p>
    <w:p w14:paraId="7F3BF15F" w14:textId="70B4A559" w:rsidR="009B64B2" w:rsidRDefault="009B64B2" w:rsidP="009B64B2">
      <w:r>
        <w:t>Interference suppression refers to the techniques that can reject or cancel the interference at the receiver side. However, interference suppression has certain limitation. For example, when the interference is too strong, interference cancellation performance can be very limited due to reason</w:t>
      </w:r>
      <w:r w:rsidR="00007268">
        <w:t>s</w:t>
      </w:r>
      <w:r>
        <w:t xml:space="preserve"> such as AD saturation. The other consideration is that interference suppression requires advanced receiver,</w:t>
      </w:r>
      <w:r w:rsidR="00007268">
        <w:t xml:space="preserve"> and</w:t>
      </w:r>
      <w:r>
        <w:t xml:space="preserve"> not all receiver may have that capability</w:t>
      </w:r>
      <w:r w:rsidR="00007268">
        <w:t>,</w:t>
      </w:r>
      <w:r>
        <w:t xml:space="preserve"> </w:t>
      </w:r>
      <w:r w:rsidR="00007268">
        <w:t xml:space="preserve">especially on </w:t>
      </w:r>
      <w:r>
        <w:t xml:space="preserve">the UE side. </w:t>
      </w:r>
      <w:r w:rsidR="00C45FD9">
        <w:t>So,</w:t>
      </w:r>
      <w:r>
        <w:t xml:space="preserve"> it is not enough to purely rely on interference suppression to handle interference in dynamic TDD case. It is also important to have the scheduling and transmission coordination.</w:t>
      </w:r>
    </w:p>
    <w:p w14:paraId="7F3BF160" w14:textId="078B4E01" w:rsidR="00C3253E" w:rsidRDefault="009B64B2" w:rsidP="009B64B2">
      <w:r>
        <w:t>Scheduling and transmission coordination refers to the scheme</w:t>
      </w:r>
      <w:r w:rsidR="00560E91">
        <w:t>s</w:t>
      </w:r>
      <w:r>
        <w:t xml:space="preserve"> that </w:t>
      </w:r>
      <w:r w:rsidR="00560E91">
        <w:t xml:space="preserve">aim to </w:t>
      </w:r>
      <w:r>
        <w:t xml:space="preserve">control the interference between DL and UL transmission by carefully selecting the communication links. To perform coordination, there are at least two steps needed, the </w:t>
      </w:r>
      <w:r w:rsidR="00C45FD9">
        <w:t>first</w:t>
      </w:r>
      <w:r>
        <w:t xml:space="preserve"> step is to make OTA measurement to </w:t>
      </w:r>
      <w:r w:rsidR="00C45FD9">
        <w:t>determine</w:t>
      </w:r>
      <w:r>
        <w:t xml:space="preserve"> the interference level between DL and UL, the second step is signalling exchange to ensure that commutation links that can </w:t>
      </w:r>
      <w:r w:rsidR="005840E9">
        <w:t xml:space="preserve">potentially </w:t>
      </w:r>
      <w:r>
        <w:t xml:space="preserve">cause large interference to each other </w:t>
      </w:r>
      <w:r w:rsidR="005840E9">
        <w:t>are handled appropriately to avoid severe cross link interference</w:t>
      </w:r>
      <w:r>
        <w:t>. Those two steps can be performed at different time scale and achieve by different means. At least, there are three types of scheduling and transmission coordination</w:t>
      </w:r>
    </w:p>
    <w:p w14:paraId="7F3BF161" w14:textId="77777777" w:rsidR="009B64B2" w:rsidRDefault="009B64B2" w:rsidP="009B64B2">
      <w:pPr>
        <w:numPr>
          <w:ilvl w:val="0"/>
          <w:numId w:val="8"/>
        </w:numPr>
      </w:pPr>
      <w:r w:rsidRPr="007A3E24">
        <w:t xml:space="preserve">Approach A.  Semi-static OTA measurement &amp; </w:t>
      </w:r>
      <w:r w:rsidR="00A10C46" w:rsidRPr="007A3E24">
        <w:t>signalling</w:t>
      </w:r>
      <w:r w:rsidRPr="007A3E24">
        <w:t xml:space="preserve">, coupled with semi-static information exchange over backhaul </w:t>
      </w:r>
    </w:p>
    <w:p w14:paraId="7F3BF162" w14:textId="77777777" w:rsidR="009B64B2" w:rsidRDefault="009B64B2" w:rsidP="009B64B2">
      <w:pPr>
        <w:numPr>
          <w:ilvl w:val="0"/>
          <w:numId w:val="8"/>
        </w:numPr>
      </w:pPr>
      <w:r w:rsidRPr="007A3E24">
        <w:t xml:space="preserve">Approach B.  Semi-static OTA measurement &amp; </w:t>
      </w:r>
      <w:r w:rsidR="00A10C46" w:rsidRPr="007A3E24">
        <w:t>signalling</w:t>
      </w:r>
      <w:r w:rsidRPr="007A3E24">
        <w:t xml:space="preserve">, coupled with dynamic information exchange over backhaul </w:t>
      </w:r>
    </w:p>
    <w:p w14:paraId="7F3BF163" w14:textId="77777777" w:rsidR="009B64B2" w:rsidRPr="007A3E24" w:rsidRDefault="009B64B2" w:rsidP="009B64B2">
      <w:pPr>
        <w:numPr>
          <w:ilvl w:val="0"/>
          <w:numId w:val="8"/>
        </w:numPr>
      </w:pPr>
      <w:r w:rsidRPr="007A3E24">
        <w:t xml:space="preserve">Approach C.  Dynamic OTA measurement &amp; </w:t>
      </w:r>
      <w:r w:rsidR="00A10C46" w:rsidRPr="007A3E24">
        <w:t>signalling</w:t>
      </w:r>
    </w:p>
    <w:p w14:paraId="7F3BF164" w14:textId="77777777" w:rsidR="009B64B2" w:rsidRDefault="009B64B2" w:rsidP="009B64B2">
      <w:r>
        <w:t>The approach A is more suitable for the scenario that the ratio of DL and UL traffic volume and the interference profile in the system (e.g. low UE mobility) vary slowly. The benefit of approach A is the reduced measurement and signalling overhead at the expense of slow response to traffic and interference profile change.</w:t>
      </w:r>
    </w:p>
    <w:p w14:paraId="7F3BF165" w14:textId="77777777" w:rsidR="009B64B2" w:rsidRDefault="009B64B2" w:rsidP="009B64B2">
      <w:r>
        <w:t xml:space="preserve">One the contrary, approach C allows fast adaptation to the dynamic change of the interference profile and traffic volume change. OTA measurement can be performed before the start of each transmission, followed by or </w:t>
      </w:r>
      <w:r>
        <w:lastRenderedPageBreak/>
        <w:t xml:space="preserve">preceded by the signalling that can be used to determine the direction of the transmission, and/or the </w:t>
      </w:r>
      <w:proofErr w:type="gramStart"/>
      <w:r>
        <w:t>Tx</w:t>
      </w:r>
      <w:proofErr w:type="gramEnd"/>
      <w:r>
        <w:t xml:space="preserve"> yielding.</w:t>
      </w:r>
    </w:p>
    <w:p w14:paraId="7F3BF166" w14:textId="77777777" w:rsidR="009B64B2" w:rsidRDefault="009B64B2" w:rsidP="009B64B2">
      <w:r>
        <w:t>Naturally approach B is a trade off of OTA signalling overhead over speed of dynamic TDD adaptation. Approach B would be useful when low latency backhaul is available</w:t>
      </w:r>
    </w:p>
    <w:p w14:paraId="7F3BF167" w14:textId="77777777" w:rsidR="009B64B2" w:rsidRPr="009B64B2" w:rsidRDefault="00391757" w:rsidP="009B64B2">
      <w:r>
        <w:t>In this contribution, we focus on the semi-static OTA measurement as well as well the dynamic OTA measurement solution</w:t>
      </w:r>
    </w:p>
    <w:p w14:paraId="3A26263F" w14:textId="77777777" w:rsidR="00EF2E1B" w:rsidRPr="00302FD9" w:rsidRDefault="00EF2E1B" w:rsidP="00826321">
      <w:pPr>
        <w:pStyle w:val="Heading3"/>
        <w:rPr>
          <w:lang w:val="en-US"/>
        </w:rPr>
      </w:pPr>
      <w:r w:rsidRPr="00302FD9">
        <w:rPr>
          <w:lang w:val="en-US"/>
        </w:rPr>
        <w:t xml:space="preserve">4.1 </w:t>
      </w:r>
      <w:r w:rsidRPr="00302FD9">
        <w:rPr>
          <w:lang w:val="en-US"/>
        </w:rPr>
        <w:tab/>
        <w:t>Semi-static OTA measurement for Dynamic TDD data channel interference management</w:t>
      </w:r>
    </w:p>
    <w:p w14:paraId="7F3BF169" w14:textId="53939CAE" w:rsidR="00731A7E" w:rsidRDefault="00996E14" w:rsidP="003632F6">
      <w:r>
        <w:t xml:space="preserve">To avoid severe cross link interference, one solution is for gNB to make </w:t>
      </w:r>
      <w:r w:rsidR="00F166E1">
        <w:t>cross link interference</w:t>
      </w:r>
      <w:r>
        <w:t xml:space="preserve"> </w:t>
      </w:r>
      <w:r w:rsidR="00F166E1">
        <w:t xml:space="preserve">aware </w:t>
      </w:r>
      <w:r>
        <w:t>scheduling decision, in terms of deciding on the direction (DL or UL), the MCS, the potential power backoff, the beam</w:t>
      </w:r>
      <w:r w:rsidR="00F06A28">
        <w:t xml:space="preserve"> choice </w:t>
      </w:r>
      <w:r>
        <w:t xml:space="preserve">etc. For the gNB to make smart </w:t>
      </w:r>
      <w:r w:rsidR="00F166E1">
        <w:t xml:space="preserve">cross link interference aware </w:t>
      </w:r>
      <w:r>
        <w:t>decision, interference knowledge between dif</w:t>
      </w:r>
      <w:r w:rsidR="00C45FD9">
        <w:t>ferent links is essential. This</w:t>
      </w:r>
      <w:r>
        <w:t xml:space="preserve"> interferen</w:t>
      </w:r>
      <w:r w:rsidR="00C45FD9">
        <w:t>ce knowledge includes the UE-to-UE and BS-</w:t>
      </w:r>
      <w:r>
        <w:t>t</w:t>
      </w:r>
      <w:r w:rsidR="00C45FD9">
        <w:t>o-</w:t>
      </w:r>
      <w:r w:rsidR="00796FBF">
        <w:t>BS</w:t>
      </w:r>
      <w:r w:rsidR="00C45FD9">
        <w:t xml:space="preserve"> links</w:t>
      </w:r>
      <w:r w:rsidR="00796FBF">
        <w:t>. In the current system, thi</w:t>
      </w:r>
      <w:r>
        <w:t>s type of interference knowledge is not readily available (e.g. BS to BS interference) or even impossible to obtain (e.g. UE to UE interference). For the dynamic TDD to work robustly, we believe it is important to allow the interference measurement in order to support dynamic TDD. On the other side, interference measurement incurs overhead in the system, so it is important to also control the overhead. Based on the above discussion, interference management can be at semi-stat</w:t>
      </w:r>
      <w:r w:rsidR="00383B11">
        <w:t>ic level. In our contribution [4</w:t>
      </w:r>
      <w:r>
        <w:t xml:space="preserve">], </w:t>
      </w:r>
      <w:r w:rsidR="00731A7E">
        <w:t>we also show the effectiveness of semi-static OTA measurement via simulation results.</w:t>
      </w:r>
    </w:p>
    <w:p w14:paraId="256D817F" w14:textId="04017120" w:rsidR="0073518D" w:rsidRDefault="0073518D" w:rsidP="003632F6">
      <w:r>
        <w:t xml:space="preserve">In general, there is a need to specify the mechanism for OTA measurement for BS-to-BS interference and UE-to-UE interference. In particular, if two </w:t>
      </w:r>
      <w:r w:rsidR="0009533B">
        <w:t>gNB</w:t>
      </w:r>
      <w:r w:rsidR="00B23B63">
        <w:t>s</w:t>
      </w:r>
      <w:r>
        <w:t xml:space="preserve"> belong to different vendors, then such a mechanism, if specified, can be useful for the network to identify potential cross-link interference scenarios in a consistent manner.</w:t>
      </w:r>
      <w:r w:rsidR="00F60940">
        <w:t xml:space="preserve"> Similarly, for UE-to-UE link measurement, a procedure needs to be specified for UEs to transmit sounding signals, measure sounding signals from other UEs, and finally report the measurements to the serving BS.</w:t>
      </w:r>
    </w:p>
    <w:p w14:paraId="7F3BF16A" w14:textId="5EB3BADB" w:rsidR="000B1CAD" w:rsidRDefault="000B1CAD" w:rsidP="003632F6">
      <w:r>
        <w:t>For measurement of potential BS to BS interference, we can consider the special slot structure dedicated for the interference measurement</w:t>
      </w:r>
      <w:r w:rsidR="0060169E">
        <w:t xml:space="preserve"> as illustrated in the upper part of Fig. 2</w:t>
      </w:r>
    </w:p>
    <w:p w14:paraId="7F3BF16B" w14:textId="77777777" w:rsidR="00411E49" w:rsidRPr="00411E49" w:rsidRDefault="00860956" w:rsidP="00411E49">
      <w:pPr>
        <w:numPr>
          <w:ilvl w:val="0"/>
          <w:numId w:val="11"/>
        </w:numPr>
        <w:rPr>
          <w:lang w:val="en-US"/>
        </w:rPr>
      </w:pPr>
      <w:r w:rsidRPr="00352662">
        <w:rPr>
          <w:lang w:val="en-US"/>
        </w:rPr>
        <w:t xml:space="preserve">BS </w:t>
      </w:r>
      <w:r w:rsidR="002403E7">
        <w:rPr>
          <w:lang w:val="en-US"/>
        </w:rPr>
        <w:t xml:space="preserve">(gNB) </w:t>
      </w:r>
      <w:r w:rsidRPr="00352662">
        <w:rPr>
          <w:lang w:val="en-US"/>
        </w:rPr>
        <w:t>uses network listen functionality to estimate BS-BS channel</w:t>
      </w:r>
    </w:p>
    <w:p w14:paraId="7F3BF16C" w14:textId="77777777" w:rsidR="00411E49" w:rsidRDefault="00860956" w:rsidP="00352662">
      <w:pPr>
        <w:numPr>
          <w:ilvl w:val="0"/>
          <w:numId w:val="11"/>
        </w:numPr>
        <w:rPr>
          <w:lang w:val="en-US"/>
        </w:rPr>
      </w:pPr>
      <w:r w:rsidRPr="00352662">
        <w:rPr>
          <w:lang w:val="en-US"/>
        </w:rPr>
        <w:t xml:space="preserve">Each BS has a low duty-cycle </w:t>
      </w:r>
      <w:r w:rsidR="00411E49">
        <w:rPr>
          <w:lang w:val="en-US"/>
        </w:rPr>
        <w:t xml:space="preserve">for sending sounding signals (CSI-RS) </w:t>
      </w:r>
      <w:r w:rsidRPr="00352662">
        <w:rPr>
          <w:lang w:val="en-US"/>
        </w:rPr>
        <w:t>(</w:t>
      </w:r>
      <w:r w:rsidR="00411E49">
        <w:rPr>
          <w:lang w:val="en-US"/>
        </w:rPr>
        <w:t>on the order of seconds or even longer)</w:t>
      </w:r>
    </w:p>
    <w:p w14:paraId="7F3BF16D" w14:textId="77777777" w:rsidR="00074E02" w:rsidRDefault="00074E02" w:rsidP="00352662">
      <w:pPr>
        <w:numPr>
          <w:ilvl w:val="0"/>
          <w:numId w:val="11"/>
        </w:numPr>
        <w:rPr>
          <w:lang w:val="en-US"/>
        </w:rPr>
      </w:pPr>
      <w:r>
        <w:rPr>
          <w:lang w:val="en-US"/>
        </w:rPr>
        <w:t>Neighboring BS measures the channel during the sounding period</w:t>
      </w:r>
    </w:p>
    <w:p w14:paraId="7F3BF16E" w14:textId="77777777" w:rsidR="00074E02" w:rsidRDefault="00074E02" w:rsidP="00074E02">
      <w:r>
        <w:t xml:space="preserve">For measurement of potential UE to UE interference, we can consider the special slot structure dedicated for the interference measurement as illustrated </w:t>
      </w:r>
      <w:r w:rsidR="00B5664B">
        <w:t>in the lower</w:t>
      </w:r>
      <w:r>
        <w:t xml:space="preserve"> part of Fig. 2</w:t>
      </w:r>
    </w:p>
    <w:p w14:paraId="7F3BF16F" w14:textId="41CF46C9" w:rsidR="00B36366" w:rsidRPr="00E12A64" w:rsidRDefault="00860956" w:rsidP="00E12A64">
      <w:pPr>
        <w:numPr>
          <w:ilvl w:val="0"/>
          <w:numId w:val="11"/>
        </w:numPr>
        <w:rPr>
          <w:lang w:val="en-US"/>
        </w:rPr>
      </w:pPr>
      <w:r w:rsidRPr="00E12A64">
        <w:rPr>
          <w:lang w:val="en-US"/>
        </w:rPr>
        <w:t xml:space="preserve">A subset of UEs transmit SRS, while other UEs measure their signal (different SRS signals </w:t>
      </w:r>
      <w:r w:rsidR="00F9095A">
        <w:rPr>
          <w:lang w:val="en-US"/>
        </w:rPr>
        <w:t>can be multipl</w:t>
      </w:r>
      <w:r w:rsidR="00E12A64">
        <w:rPr>
          <w:lang w:val="en-US"/>
        </w:rPr>
        <w:t>e</w:t>
      </w:r>
      <w:r w:rsidR="00F9095A">
        <w:rPr>
          <w:lang w:val="en-US"/>
        </w:rPr>
        <w:t>xe</w:t>
      </w:r>
      <w:r w:rsidR="00E12A64">
        <w:rPr>
          <w:lang w:val="en-US"/>
        </w:rPr>
        <w:t xml:space="preserve">d </w:t>
      </w:r>
      <w:r w:rsidRPr="00E12A64">
        <w:rPr>
          <w:lang w:val="en-US"/>
        </w:rPr>
        <w:t>over multiple “SRS” channels)</w:t>
      </w:r>
    </w:p>
    <w:p w14:paraId="7F3BF170" w14:textId="77777777" w:rsidR="00074E02" w:rsidRDefault="00E12A64" w:rsidP="00DC5C69">
      <w:pPr>
        <w:numPr>
          <w:ilvl w:val="0"/>
          <w:numId w:val="11"/>
        </w:numPr>
        <w:rPr>
          <w:lang w:val="en-US"/>
        </w:rPr>
      </w:pPr>
      <w:r w:rsidRPr="00E12A64">
        <w:rPr>
          <w:lang w:val="en-US"/>
        </w:rPr>
        <w:t>Measurements are filtered and reported to the infrastructure (</w:t>
      </w:r>
      <w:r>
        <w:rPr>
          <w:lang w:val="en-US"/>
        </w:rPr>
        <w:t>on the order of seconds or even longer</w:t>
      </w:r>
      <w:r w:rsidRPr="00E12A64">
        <w:rPr>
          <w:lang w:val="en-US"/>
        </w:rPr>
        <w:t>)</w:t>
      </w:r>
      <w:r w:rsidR="00DC5C69">
        <w:rPr>
          <w:lang w:val="en-US"/>
        </w:rPr>
        <w:t xml:space="preserve"> </w:t>
      </w:r>
    </w:p>
    <w:p w14:paraId="7F3BF171" w14:textId="77777777" w:rsidR="0060169E" w:rsidRDefault="0060169E" w:rsidP="0060169E">
      <w:pPr>
        <w:keepNext/>
      </w:pPr>
      <w:r>
        <w:object w:dxaOrig="10508" w:dyaOrig="3502" w14:anchorId="7F3BF19C">
          <v:shape id="_x0000_i1025" type="#_x0000_t75" style="width:482.25pt;height:158.25pt" o:ole="">
            <v:imagedata r:id="rId16" o:title=""/>
          </v:shape>
          <o:OLEObject Type="Embed" ProgID="Visio.Drawing.11" ShapeID="_x0000_i1025" DrawAspect="Content" ObjectID="_1551896282" r:id="rId17"/>
        </w:object>
      </w:r>
    </w:p>
    <w:p w14:paraId="7F3BF172" w14:textId="2DD6095B" w:rsidR="00B1543C" w:rsidRDefault="0060169E" w:rsidP="00626768">
      <w:pPr>
        <w:pStyle w:val="Caption"/>
        <w:jc w:val="center"/>
      </w:pPr>
      <w:r>
        <w:t xml:space="preserve">Figure </w:t>
      </w:r>
      <w:r>
        <w:fldChar w:fldCharType="begin"/>
      </w:r>
      <w:r>
        <w:instrText xml:space="preserve"> SEQ Figure \* ARABIC </w:instrText>
      </w:r>
      <w:r>
        <w:fldChar w:fldCharType="separate"/>
      </w:r>
      <w:r w:rsidR="005901E5">
        <w:rPr>
          <w:noProof/>
        </w:rPr>
        <w:t>4</w:t>
      </w:r>
      <w:r>
        <w:fldChar w:fldCharType="end"/>
      </w:r>
      <w:r>
        <w:t xml:space="preserve"> Slot structure for semi-static OTA interference measurement</w:t>
      </w:r>
    </w:p>
    <w:p w14:paraId="7F3BF173" w14:textId="77777777" w:rsidR="00732742" w:rsidRDefault="00732742" w:rsidP="00732742">
      <w:r>
        <w:t>In summary, for semi-static OTA measurement, we have the following proposal</w:t>
      </w:r>
    </w:p>
    <w:p w14:paraId="355FF5D2" w14:textId="2EEA1D4F" w:rsidR="00B200E2" w:rsidRPr="000D5816" w:rsidRDefault="00B200E2" w:rsidP="00B200E2">
      <w:pPr>
        <w:rPr>
          <w:b/>
          <w:i/>
          <w:lang w:eastAsia="ko-KR"/>
        </w:rPr>
      </w:pPr>
      <w:r w:rsidRPr="000D5816">
        <w:rPr>
          <w:b/>
          <w:i/>
          <w:lang w:eastAsia="ko-KR"/>
        </w:rPr>
        <w:t xml:space="preserve">Proposal 2: For dynamic TDD data channel interference management, NR considers supporting special slot structure and mechanisms to allow the sounding of BS to BS and UE to UE </w:t>
      </w:r>
      <w:r w:rsidR="000B21CB">
        <w:rPr>
          <w:b/>
          <w:i/>
          <w:lang w:eastAsia="ko-KR"/>
        </w:rPr>
        <w:t>links</w:t>
      </w:r>
      <w:r w:rsidRPr="000D5816">
        <w:rPr>
          <w:b/>
          <w:i/>
          <w:lang w:eastAsia="ko-KR"/>
        </w:rPr>
        <w:t>.</w:t>
      </w:r>
    </w:p>
    <w:p w14:paraId="17188720" w14:textId="75CFFC9C" w:rsidR="009F6175" w:rsidRDefault="009F6175" w:rsidP="009F6175">
      <w:pPr>
        <w:pStyle w:val="Heading3"/>
      </w:pPr>
      <w:r w:rsidRPr="00302FD9">
        <w:rPr>
          <w:lang w:val="en-US"/>
        </w:rPr>
        <w:t>4.</w:t>
      </w:r>
      <w:r>
        <w:rPr>
          <w:lang w:val="en-US"/>
        </w:rPr>
        <w:t>2</w:t>
      </w:r>
      <w:r w:rsidRPr="00302FD9">
        <w:rPr>
          <w:lang w:val="en-US"/>
        </w:rPr>
        <w:t xml:space="preserve"> </w:t>
      </w:r>
      <w:r w:rsidRPr="00302FD9">
        <w:rPr>
          <w:lang w:val="en-US"/>
        </w:rPr>
        <w:tab/>
      </w:r>
      <w:r w:rsidRPr="009F6175">
        <w:rPr>
          <w:lang w:val="en-US"/>
        </w:rPr>
        <w:t xml:space="preserve">Dynamic OTA measurement for Dynamic TDD data channel interference management </w:t>
      </w:r>
    </w:p>
    <w:p w14:paraId="7F3BF176" w14:textId="426AD23F" w:rsidR="007C75B6" w:rsidRDefault="000A6152" w:rsidP="00B44840">
      <w:r>
        <w:t>I</w:t>
      </w:r>
      <w:r w:rsidR="007C75B6">
        <w:t xml:space="preserve">n </w:t>
      </w:r>
      <w:r w:rsidR="00A71B5C">
        <w:t xml:space="preserve">the </w:t>
      </w:r>
      <w:r w:rsidR="007C75B6">
        <w:t>previous section, we discuss</w:t>
      </w:r>
      <w:r w:rsidR="00A71B5C">
        <w:t>ed</w:t>
      </w:r>
      <w:r w:rsidR="007C75B6">
        <w:t xml:space="preserve"> the semi-static measurement. The limitation of semi-static interference measurement is the lack of ability to adapt to the fast variation of radio environment, UE mobility</w:t>
      </w:r>
      <w:r w:rsidR="006C0DAB">
        <w:t xml:space="preserve">, traffic </w:t>
      </w:r>
      <w:r w:rsidR="007D750B">
        <w:t>load</w:t>
      </w:r>
      <w:r w:rsidR="006C0DAB">
        <w:t>,</w:t>
      </w:r>
      <w:r w:rsidR="007C75B6">
        <w:t xml:space="preserve"> etc. A truly robust solution is the dynamic OTA measurement. There could be multiple flavours of dynamic OTA measurement, a more comprehensive </w:t>
      </w:r>
      <w:r w:rsidR="00F951A1">
        <w:t xml:space="preserve">solution </w:t>
      </w:r>
      <w:r w:rsidR="007C75B6">
        <w:t xml:space="preserve">can involve the </w:t>
      </w:r>
      <w:proofErr w:type="gramStart"/>
      <w:r w:rsidR="007C75B6">
        <w:t>Tx</w:t>
      </w:r>
      <w:proofErr w:type="gramEnd"/>
      <w:r w:rsidR="007C75B6">
        <w:t xml:space="preserve"> to send RTS and Rx to send CTS before data transmission. On the other side, we also need to consider the overhead incurred from the dynamic OTA measurement since every </w:t>
      </w:r>
      <w:r w:rsidR="003B4030">
        <w:t>transition</w:t>
      </w:r>
      <w:r w:rsidR="007C75B6">
        <w:t xml:space="preserve"> between Rx and Tx (DL and UL) </w:t>
      </w:r>
      <w:r w:rsidR="005E0DC2">
        <w:t xml:space="preserve">introduces more overhead </w:t>
      </w:r>
      <w:r w:rsidR="007C75B6">
        <w:t xml:space="preserve">for both RF switching time and </w:t>
      </w:r>
      <w:r w:rsidR="00F1248D">
        <w:t>propagation delay</w:t>
      </w:r>
      <w:r w:rsidR="007C75B6">
        <w:t>. To reduce the overhead incurred from dynamic OTA measurement, we propose</w:t>
      </w:r>
      <w:r w:rsidR="00891D96">
        <w:t>:</w:t>
      </w:r>
    </w:p>
    <w:p w14:paraId="7F3BF177" w14:textId="77777777" w:rsidR="007C75B6" w:rsidRDefault="007C75B6" w:rsidP="007C75B6">
      <w:pPr>
        <w:pStyle w:val="ListParagraph"/>
        <w:numPr>
          <w:ilvl w:val="0"/>
          <w:numId w:val="15"/>
        </w:numPr>
        <w:rPr>
          <w:rFonts w:eastAsia="SimSun"/>
          <w:color w:val="000000"/>
          <w:sz w:val="20"/>
          <w:szCs w:val="20"/>
          <w:lang w:val="en-GB" w:eastAsia="ja-JP"/>
        </w:rPr>
      </w:pPr>
      <w:r w:rsidRPr="007C75B6">
        <w:rPr>
          <w:rFonts w:eastAsia="SimSun"/>
          <w:color w:val="000000"/>
          <w:sz w:val="20"/>
          <w:szCs w:val="20"/>
          <w:lang w:val="en-GB" w:eastAsia="ja-JP"/>
        </w:rPr>
        <w:t>System employs default scheduling direction</w:t>
      </w:r>
    </w:p>
    <w:p w14:paraId="7F3BF178" w14:textId="77777777" w:rsidR="00B44840" w:rsidRDefault="007C75B6" w:rsidP="007C75B6">
      <w:pPr>
        <w:pStyle w:val="ListParagraph"/>
        <w:numPr>
          <w:ilvl w:val="0"/>
          <w:numId w:val="15"/>
        </w:numPr>
        <w:rPr>
          <w:rFonts w:eastAsia="SimSun"/>
          <w:color w:val="000000"/>
          <w:sz w:val="20"/>
          <w:szCs w:val="20"/>
          <w:lang w:val="en-GB" w:eastAsia="ja-JP"/>
        </w:rPr>
      </w:pPr>
      <w:proofErr w:type="gramStart"/>
      <w:r>
        <w:rPr>
          <w:rFonts w:eastAsia="SimSun"/>
          <w:color w:val="000000"/>
          <w:sz w:val="20"/>
          <w:szCs w:val="20"/>
          <w:lang w:val="en-GB" w:eastAsia="ja-JP"/>
        </w:rPr>
        <w:t>gNB</w:t>
      </w:r>
      <w:proofErr w:type="gramEnd"/>
      <w:r>
        <w:rPr>
          <w:rFonts w:eastAsia="SimSun"/>
          <w:color w:val="000000"/>
          <w:sz w:val="20"/>
          <w:szCs w:val="20"/>
          <w:lang w:val="en-GB" w:eastAsia="ja-JP"/>
        </w:rPr>
        <w:t xml:space="preserve"> can schedule transmission opposite to the default direction. However, to control the interference cause</w:t>
      </w:r>
      <w:r w:rsidR="006C454B">
        <w:rPr>
          <w:rFonts w:eastAsia="SimSun"/>
          <w:color w:val="000000"/>
          <w:sz w:val="20"/>
          <w:szCs w:val="20"/>
          <w:lang w:val="en-GB" w:eastAsia="ja-JP"/>
        </w:rPr>
        <w:t>d</w:t>
      </w:r>
      <w:r>
        <w:rPr>
          <w:rFonts w:eastAsia="SimSun"/>
          <w:color w:val="000000"/>
          <w:sz w:val="20"/>
          <w:szCs w:val="20"/>
          <w:lang w:val="en-GB" w:eastAsia="ja-JP"/>
        </w:rPr>
        <w:t xml:space="preserve"> from the co</w:t>
      </w:r>
      <w:r w:rsidR="00B9139C">
        <w:rPr>
          <w:rFonts w:eastAsia="SimSun"/>
          <w:color w:val="000000"/>
          <w:sz w:val="20"/>
          <w:szCs w:val="20"/>
          <w:lang w:val="en-GB" w:eastAsia="ja-JP"/>
        </w:rPr>
        <w:t>n</w:t>
      </w:r>
      <w:r>
        <w:rPr>
          <w:rFonts w:eastAsia="SimSun"/>
          <w:color w:val="000000"/>
          <w:sz w:val="20"/>
          <w:szCs w:val="20"/>
          <w:lang w:val="en-GB" w:eastAsia="ja-JP"/>
        </w:rPr>
        <w:t>ver</w:t>
      </w:r>
      <w:r w:rsidR="006C454B">
        <w:rPr>
          <w:rFonts w:eastAsia="SimSun"/>
          <w:color w:val="000000"/>
          <w:sz w:val="20"/>
          <w:szCs w:val="20"/>
          <w:lang w:val="en-GB" w:eastAsia="ja-JP"/>
        </w:rPr>
        <w:t>t</w:t>
      </w:r>
      <w:r>
        <w:rPr>
          <w:rFonts w:eastAsia="SimSun"/>
          <w:color w:val="000000"/>
          <w:sz w:val="20"/>
          <w:szCs w:val="20"/>
          <w:lang w:val="en-GB" w:eastAsia="ja-JP"/>
        </w:rPr>
        <w:t>ed direction to the default direction, receiver in the default direction sends OTA measurement signal (CTS) preceding each data transmission for the potential Tx yielding of the converted direction.</w:t>
      </w:r>
      <w:r w:rsidRPr="007C75B6">
        <w:rPr>
          <w:rFonts w:eastAsia="SimSun"/>
          <w:color w:val="000000"/>
          <w:sz w:val="20"/>
          <w:szCs w:val="20"/>
          <w:lang w:val="en-GB" w:eastAsia="ja-JP"/>
        </w:rPr>
        <w:t xml:space="preserve"> </w:t>
      </w:r>
    </w:p>
    <w:p w14:paraId="7F3BF179" w14:textId="77777777" w:rsidR="00563655" w:rsidRDefault="00563655" w:rsidP="00563655">
      <w:pPr>
        <w:pStyle w:val="ListParagraph"/>
        <w:ind w:left="1020"/>
        <w:rPr>
          <w:rFonts w:eastAsia="SimSun"/>
          <w:color w:val="000000"/>
          <w:sz w:val="20"/>
          <w:szCs w:val="20"/>
          <w:lang w:val="en-GB" w:eastAsia="ja-JP"/>
        </w:rPr>
      </w:pPr>
    </w:p>
    <w:p w14:paraId="7F3BF17A" w14:textId="3CD337EC" w:rsidR="00563655" w:rsidRDefault="00563655" w:rsidP="00563655">
      <w:r>
        <w:t xml:space="preserve">Below we explain our </w:t>
      </w:r>
      <w:r w:rsidR="006745C6">
        <w:t>proposal in detail. Fig. 3 illustrate</w:t>
      </w:r>
      <w:r w:rsidR="00891D96">
        <w:t>s</w:t>
      </w:r>
      <w:r w:rsidR="006745C6">
        <w:t xml:space="preserve"> the scenario with default direction of DL</w:t>
      </w:r>
    </w:p>
    <w:p w14:paraId="7F3BF17B" w14:textId="77777777" w:rsidR="00524AC8" w:rsidRDefault="00524AC8" w:rsidP="00B44B2B">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schedules the default direction, DL</w:t>
      </w:r>
      <w:r w:rsidR="005E6014">
        <w:rPr>
          <w:rFonts w:eastAsia="SimSun"/>
          <w:color w:val="000000"/>
          <w:sz w:val="20"/>
          <w:szCs w:val="20"/>
          <w:lang w:val="en-GB" w:eastAsia="ja-JP"/>
        </w:rPr>
        <w:t xml:space="preserve"> (upper part of Fig. 3</w:t>
      </w:r>
      <w:r w:rsidR="002469D7">
        <w:rPr>
          <w:rFonts w:eastAsia="SimSun"/>
          <w:color w:val="000000"/>
          <w:sz w:val="20"/>
          <w:szCs w:val="20"/>
          <w:lang w:val="en-GB" w:eastAsia="ja-JP"/>
        </w:rPr>
        <w:t>)</w:t>
      </w:r>
    </w:p>
    <w:p w14:paraId="7F3BF17C" w14:textId="77777777"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receiving DL scheduling, UE transmits OTA measurement signal (CTS)</w:t>
      </w:r>
    </w:p>
    <w:p w14:paraId="7F3BF17D" w14:textId="2A508C7C"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42437">
        <w:rPr>
          <w:rFonts w:eastAsia="SimSun"/>
          <w:color w:val="000000"/>
          <w:sz w:val="20"/>
          <w:szCs w:val="20"/>
          <w:lang w:val="en-GB" w:eastAsia="ja-JP"/>
        </w:rPr>
        <w:t xml:space="preserve">the gap for </w:t>
      </w:r>
      <w:r>
        <w:rPr>
          <w:rFonts w:eastAsia="SimSun"/>
          <w:color w:val="000000"/>
          <w:sz w:val="20"/>
          <w:szCs w:val="20"/>
          <w:lang w:val="en-GB" w:eastAsia="ja-JP"/>
        </w:rPr>
        <w:t>CTS transmission, gNB proceed</w:t>
      </w:r>
      <w:r w:rsidR="00891D96">
        <w:rPr>
          <w:rFonts w:eastAsia="SimSun"/>
          <w:color w:val="000000"/>
          <w:sz w:val="20"/>
          <w:szCs w:val="20"/>
          <w:lang w:val="en-GB" w:eastAsia="ja-JP"/>
        </w:rPr>
        <w:t>s</w:t>
      </w:r>
      <w:r>
        <w:rPr>
          <w:rFonts w:eastAsia="SimSun"/>
          <w:color w:val="000000"/>
          <w:sz w:val="20"/>
          <w:szCs w:val="20"/>
          <w:lang w:val="en-GB" w:eastAsia="ja-JP"/>
        </w:rPr>
        <w:t xml:space="preserve"> with the DL data transmission</w:t>
      </w:r>
    </w:p>
    <w:p w14:paraId="7F3BF17E" w14:textId="6873442C" w:rsidR="005E6014" w:rsidRDefault="00891D96" w:rsidP="005E6014">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 xml:space="preserve">Another </w:t>
      </w:r>
      <w:r w:rsidR="005E6014">
        <w:rPr>
          <w:rFonts w:eastAsia="SimSun"/>
          <w:color w:val="000000"/>
          <w:sz w:val="20"/>
          <w:szCs w:val="20"/>
          <w:lang w:val="en-GB" w:eastAsia="ja-JP"/>
        </w:rPr>
        <w:t>gNB schedules the UL transmission, which is opposite to the default direction, DL (lower part of Fig. 3)</w:t>
      </w:r>
    </w:p>
    <w:p w14:paraId="7F3BF17F" w14:textId="77777777" w:rsidR="005E6014" w:rsidRDefault="005E6014" w:rsidP="005E6014">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UE listens to the CTS before start</w:t>
      </w:r>
      <w:r w:rsidR="00534A0C">
        <w:rPr>
          <w:rFonts w:eastAsia="SimSun"/>
          <w:color w:val="000000"/>
          <w:sz w:val="20"/>
          <w:szCs w:val="20"/>
          <w:lang w:val="en-GB" w:eastAsia="ja-JP"/>
        </w:rPr>
        <w:t>ing</w:t>
      </w:r>
      <w:r>
        <w:rPr>
          <w:rFonts w:eastAsia="SimSun"/>
          <w:color w:val="000000"/>
          <w:sz w:val="20"/>
          <w:szCs w:val="20"/>
          <w:lang w:val="en-GB" w:eastAsia="ja-JP"/>
        </w:rPr>
        <w:t xml:space="preserve"> UL transmission. If UE hears strong CTS, UE will abandon the UL transmission or perform power backoff.</w:t>
      </w:r>
    </w:p>
    <w:p w14:paraId="7F3BF180" w14:textId="77777777" w:rsidR="006745C6" w:rsidRDefault="006745C6" w:rsidP="00563655"/>
    <w:p w14:paraId="7F3BF181" w14:textId="77777777" w:rsidR="006745C6" w:rsidRDefault="006745C6" w:rsidP="006745C6">
      <w:pPr>
        <w:keepNext/>
      </w:pPr>
      <w:r w:rsidRPr="006745C6">
        <w:rPr>
          <w:noProof/>
          <w:lang w:val="en-US" w:eastAsia="en-US"/>
        </w:rPr>
        <w:lastRenderedPageBreak/>
        <w:drawing>
          <wp:inline distT="0" distB="0" distL="0" distR="0" wp14:anchorId="7F3BF19D" wp14:editId="7F3BF19E">
            <wp:extent cx="6120130" cy="16109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6120130" cy="1610995"/>
                    </a:xfrm>
                    <a:prstGeom prst="rect">
                      <a:avLst/>
                    </a:prstGeom>
                  </pic:spPr>
                </pic:pic>
              </a:graphicData>
            </a:graphic>
          </wp:inline>
        </w:drawing>
      </w:r>
    </w:p>
    <w:p w14:paraId="7F3BF182" w14:textId="2F2839E3" w:rsidR="006745C6" w:rsidRDefault="006745C6" w:rsidP="006745C6">
      <w:pPr>
        <w:pStyle w:val="Caption"/>
        <w:jc w:val="center"/>
      </w:pPr>
      <w:r>
        <w:t xml:space="preserve">Figure </w:t>
      </w:r>
      <w:r>
        <w:fldChar w:fldCharType="begin"/>
      </w:r>
      <w:r>
        <w:instrText xml:space="preserve"> SEQ Figure \* ARABIC </w:instrText>
      </w:r>
      <w:r>
        <w:fldChar w:fldCharType="separate"/>
      </w:r>
      <w:r w:rsidR="005901E5">
        <w:rPr>
          <w:noProof/>
        </w:rPr>
        <w:t>5</w:t>
      </w:r>
      <w:r>
        <w:fldChar w:fldCharType="end"/>
      </w:r>
      <w:r>
        <w:t xml:space="preserve"> Dynamic OTA measurement</w:t>
      </w:r>
      <w:r w:rsidR="00A426DF">
        <w:t xml:space="preserve">, </w:t>
      </w:r>
      <w:r>
        <w:t>default direction</w:t>
      </w:r>
      <w:r w:rsidR="00A426DF">
        <w:t xml:space="preserve"> DL</w:t>
      </w:r>
    </w:p>
    <w:p w14:paraId="7F3BF183" w14:textId="77777777" w:rsidR="00A426DF" w:rsidRPr="00A426DF" w:rsidRDefault="00A426DF" w:rsidP="00A426DF">
      <w:r>
        <w:t>Si</w:t>
      </w:r>
      <w:r w:rsidR="002B5B34">
        <w:t>milarly, Fig. 4 illustrates the scenario when default direction is UL</w:t>
      </w:r>
    </w:p>
    <w:p w14:paraId="7F3BF184" w14:textId="77777777" w:rsidR="00A426DF" w:rsidRDefault="00A426DF"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w:t>
      </w:r>
      <w:r w:rsidR="002B5B34">
        <w:rPr>
          <w:rFonts w:eastAsia="SimSun"/>
          <w:color w:val="000000"/>
          <w:sz w:val="20"/>
          <w:szCs w:val="20"/>
          <w:lang w:val="en-GB" w:eastAsia="ja-JP"/>
        </w:rPr>
        <w:t>hedules the default direction, U</w:t>
      </w:r>
      <w:r>
        <w:rPr>
          <w:rFonts w:eastAsia="SimSun"/>
          <w:color w:val="000000"/>
          <w:sz w:val="20"/>
          <w:szCs w:val="20"/>
          <w:lang w:val="en-GB" w:eastAsia="ja-JP"/>
        </w:rPr>
        <w:t>L</w:t>
      </w:r>
      <w:r w:rsidR="001E6A39">
        <w:rPr>
          <w:rFonts w:eastAsia="SimSun"/>
          <w:color w:val="000000"/>
          <w:sz w:val="20"/>
          <w:szCs w:val="20"/>
          <w:lang w:val="en-GB" w:eastAsia="ja-JP"/>
        </w:rPr>
        <w:t xml:space="preserve"> (upper part of Fig. 4</w:t>
      </w:r>
      <w:r>
        <w:rPr>
          <w:rFonts w:eastAsia="SimSun"/>
          <w:color w:val="000000"/>
          <w:sz w:val="20"/>
          <w:szCs w:val="20"/>
          <w:lang w:val="en-GB" w:eastAsia="ja-JP"/>
        </w:rPr>
        <w:t>)</w:t>
      </w:r>
    </w:p>
    <w:p w14:paraId="7F3BF185" w14:textId="3E43263A" w:rsidR="00A426DF" w:rsidRDefault="00A426DF"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F591A">
        <w:rPr>
          <w:rFonts w:eastAsia="SimSun"/>
          <w:color w:val="000000"/>
          <w:sz w:val="20"/>
          <w:szCs w:val="20"/>
          <w:lang w:val="en-GB" w:eastAsia="ja-JP"/>
        </w:rPr>
        <w:t>transmitting UL scheduling information</w:t>
      </w:r>
      <w:r>
        <w:rPr>
          <w:rFonts w:eastAsia="SimSun"/>
          <w:color w:val="000000"/>
          <w:sz w:val="20"/>
          <w:szCs w:val="20"/>
          <w:lang w:val="en-GB" w:eastAsia="ja-JP"/>
        </w:rPr>
        <w:t xml:space="preserve">, </w:t>
      </w:r>
      <w:r w:rsidR="00147C13">
        <w:rPr>
          <w:rFonts w:eastAsia="SimSun"/>
          <w:color w:val="000000"/>
          <w:sz w:val="20"/>
          <w:szCs w:val="20"/>
          <w:lang w:val="en-GB" w:eastAsia="ja-JP"/>
        </w:rPr>
        <w:t xml:space="preserve">gNB </w:t>
      </w:r>
      <w:r>
        <w:rPr>
          <w:rFonts w:eastAsia="SimSun"/>
          <w:color w:val="000000"/>
          <w:sz w:val="20"/>
          <w:szCs w:val="20"/>
          <w:lang w:val="en-GB" w:eastAsia="ja-JP"/>
        </w:rPr>
        <w:t>transmits OTA measurement signal (CTS)</w:t>
      </w:r>
    </w:p>
    <w:p w14:paraId="7F3BF186" w14:textId="77777777" w:rsidR="00A426DF" w:rsidRDefault="00F37E20"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the gap for CTS transmission, UE</w:t>
      </w:r>
      <w:r w:rsidR="00A426DF">
        <w:rPr>
          <w:rFonts w:eastAsia="SimSun"/>
          <w:color w:val="000000"/>
          <w:sz w:val="20"/>
          <w:szCs w:val="20"/>
          <w:lang w:val="en-GB" w:eastAsia="ja-JP"/>
        </w:rPr>
        <w:t xml:space="preserve"> proceed</w:t>
      </w:r>
      <w:r>
        <w:rPr>
          <w:rFonts w:eastAsia="SimSun"/>
          <w:color w:val="000000"/>
          <w:sz w:val="20"/>
          <w:szCs w:val="20"/>
          <w:lang w:val="en-GB" w:eastAsia="ja-JP"/>
        </w:rPr>
        <w:t>s</w:t>
      </w:r>
      <w:r w:rsidR="00A426DF">
        <w:rPr>
          <w:rFonts w:eastAsia="SimSun"/>
          <w:color w:val="000000"/>
          <w:sz w:val="20"/>
          <w:szCs w:val="20"/>
          <w:lang w:val="en-GB" w:eastAsia="ja-JP"/>
        </w:rPr>
        <w:t xml:space="preserve"> with the </w:t>
      </w:r>
      <w:r>
        <w:rPr>
          <w:rFonts w:eastAsia="SimSun"/>
          <w:color w:val="000000"/>
          <w:sz w:val="20"/>
          <w:szCs w:val="20"/>
          <w:lang w:val="en-GB" w:eastAsia="ja-JP"/>
        </w:rPr>
        <w:t>U</w:t>
      </w:r>
      <w:r w:rsidR="00A426DF">
        <w:rPr>
          <w:rFonts w:eastAsia="SimSun"/>
          <w:color w:val="000000"/>
          <w:sz w:val="20"/>
          <w:szCs w:val="20"/>
          <w:lang w:val="en-GB" w:eastAsia="ja-JP"/>
        </w:rPr>
        <w:t>L data transmission</w:t>
      </w:r>
    </w:p>
    <w:p w14:paraId="7F3BF187" w14:textId="7D583E70" w:rsidR="00A426DF" w:rsidRDefault="0086509D"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 xml:space="preserve">Another </w:t>
      </w:r>
      <w:r w:rsidR="00A426DF">
        <w:rPr>
          <w:rFonts w:eastAsia="SimSun"/>
          <w:color w:val="000000"/>
          <w:sz w:val="20"/>
          <w:szCs w:val="20"/>
          <w:lang w:val="en-GB" w:eastAsia="ja-JP"/>
        </w:rPr>
        <w:t xml:space="preserve">gNB schedules the </w:t>
      </w:r>
      <w:r w:rsidR="00824ADB">
        <w:rPr>
          <w:rFonts w:eastAsia="SimSun"/>
          <w:color w:val="000000"/>
          <w:sz w:val="20"/>
          <w:szCs w:val="20"/>
          <w:lang w:val="en-GB" w:eastAsia="ja-JP"/>
        </w:rPr>
        <w:t>D</w:t>
      </w:r>
      <w:r w:rsidR="00A426DF">
        <w:rPr>
          <w:rFonts w:eastAsia="SimSun"/>
          <w:color w:val="000000"/>
          <w:sz w:val="20"/>
          <w:szCs w:val="20"/>
          <w:lang w:val="en-GB" w:eastAsia="ja-JP"/>
        </w:rPr>
        <w:t xml:space="preserve">L transmission, which is opposite to the </w:t>
      </w:r>
      <w:r w:rsidR="00824ADB">
        <w:rPr>
          <w:rFonts w:eastAsia="SimSun"/>
          <w:color w:val="000000"/>
          <w:sz w:val="20"/>
          <w:szCs w:val="20"/>
          <w:lang w:val="en-GB" w:eastAsia="ja-JP"/>
        </w:rPr>
        <w:t>default direction, U</w:t>
      </w:r>
      <w:r w:rsidR="00A426DF">
        <w:rPr>
          <w:rFonts w:eastAsia="SimSun"/>
          <w:color w:val="000000"/>
          <w:sz w:val="20"/>
          <w:szCs w:val="20"/>
          <w:lang w:val="en-GB" w:eastAsia="ja-JP"/>
        </w:rPr>
        <w:t>L (lower</w:t>
      </w:r>
      <w:r w:rsidR="00824ADB">
        <w:rPr>
          <w:rFonts w:eastAsia="SimSun"/>
          <w:color w:val="000000"/>
          <w:sz w:val="20"/>
          <w:szCs w:val="20"/>
          <w:lang w:val="en-GB" w:eastAsia="ja-JP"/>
        </w:rPr>
        <w:t xml:space="preserve"> part of Fig. 4</w:t>
      </w:r>
      <w:r w:rsidR="00A426DF">
        <w:rPr>
          <w:rFonts w:eastAsia="SimSun"/>
          <w:color w:val="000000"/>
          <w:sz w:val="20"/>
          <w:szCs w:val="20"/>
          <w:lang w:val="en-GB" w:eastAsia="ja-JP"/>
        </w:rPr>
        <w:t>)</w:t>
      </w:r>
    </w:p>
    <w:p w14:paraId="7F3BF188" w14:textId="795CFE3F" w:rsidR="00F41317" w:rsidRDefault="00824ADB" w:rsidP="00A426DF">
      <w:pPr>
        <w:pStyle w:val="ListParagraph"/>
        <w:numPr>
          <w:ilvl w:val="1"/>
          <w:numId w:val="15"/>
        </w:numPr>
        <w:rPr>
          <w:rFonts w:eastAsia="SimSun"/>
          <w:color w:val="000000"/>
          <w:sz w:val="20"/>
          <w:szCs w:val="20"/>
          <w:lang w:val="en-GB" w:eastAsia="ja-JP"/>
        </w:rPr>
      </w:pPr>
      <w:proofErr w:type="gramStart"/>
      <w:r>
        <w:rPr>
          <w:rFonts w:eastAsia="SimSun"/>
          <w:color w:val="000000"/>
          <w:sz w:val="20"/>
          <w:szCs w:val="20"/>
          <w:lang w:val="en-GB" w:eastAsia="ja-JP"/>
        </w:rPr>
        <w:t>gNB</w:t>
      </w:r>
      <w:proofErr w:type="gramEnd"/>
      <w:r>
        <w:rPr>
          <w:rFonts w:eastAsia="SimSun"/>
          <w:color w:val="000000"/>
          <w:sz w:val="20"/>
          <w:szCs w:val="20"/>
          <w:lang w:val="en-GB" w:eastAsia="ja-JP"/>
        </w:rPr>
        <w:t xml:space="preserve"> </w:t>
      </w:r>
      <w:r w:rsidR="00A426DF">
        <w:rPr>
          <w:rFonts w:eastAsia="SimSun"/>
          <w:color w:val="000000"/>
          <w:sz w:val="20"/>
          <w:szCs w:val="20"/>
          <w:lang w:val="en-GB" w:eastAsia="ja-JP"/>
        </w:rPr>
        <w:t>listens to the CTS before starting</w:t>
      </w:r>
      <w:r w:rsidR="00C64288">
        <w:rPr>
          <w:rFonts w:eastAsia="SimSun"/>
          <w:color w:val="000000"/>
          <w:sz w:val="20"/>
          <w:szCs w:val="20"/>
          <w:lang w:val="en-GB" w:eastAsia="ja-JP"/>
        </w:rPr>
        <w:t xml:space="preserve"> D</w:t>
      </w:r>
      <w:r w:rsidR="00A426DF">
        <w:rPr>
          <w:rFonts w:eastAsia="SimSun"/>
          <w:color w:val="000000"/>
          <w:sz w:val="20"/>
          <w:szCs w:val="20"/>
          <w:lang w:val="en-GB" w:eastAsia="ja-JP"/>
        </w:rPr>
        <w:t xml:space="preserve">L transmission. If </w:t>
      </w:r>
      <w:r w:rsidR="0050463E">
        <w:rPr>
          <w:rFonts w:eastAsia="SimSun"/>
          <w:color w:val="000000"/>
          <w:sz w:val="20"/>
          <w:szCs w:val="20"/>
          <w:lang w:val="en-GB" w:eastAsia="ja-JP"/>
        </w:rPr>
        <w:t xml:space="preserve">gNB </w:t>
      </w:r>
      <w:r w:rsidR="00A426DF">
        <w:rPr>
          <w:rFonts w:eastAsia="SimSun"/>
          <w:color w:val="000000"/>
          <w:sz w:val="20"/>
          <w:szCs w:val="20"/>
          <w:lang w:val="en-GB" w:eastAsia="ja-JP"/>
        </w:rPr>
        <w:t xml:space="preserve">hears strong CTS, </w:t>
      </w:r>
      <w:r w:rsidR="000C62CD">
        <w:rPr>
          <w:rFonts w:eastAsia="SimSun"/>
          <w:color w:val="000000"/>
          <w:sz w:val="20"/>
          <w:szCs w:val="20"/>
          <w:lang w:val="en-GB" w:eastAsia="ja-JP"/>
        </w:rPr>
        <w:t xml:space="preserve">gNB </w:t>
      </w:r>
      <w:r w:rsidR="00903935">
        <w:rPr>
          <w:rFonts w:eastAsia="SimSun"/>
          <w:color w:val="000000"/>
          <w:sz w:val="20"/>
          <w:szCs w:val="20"/>
          <w:lang w:val="en-GB" w:eastAsia="ja-JP"/>
        </w:rPr>
        <w:t>will abandon the D</w:t>
      </w:r>
      <w:r w:rsidR="00A426DF">
        <w:rPr>
          <w:rFonts w:eastAsia="SimSun"/>
          <w:color w:val="000000"/>
          <w:sz w:val="20"/>
          <w:szCs w:val="20"/>
          <w:lang w:val="en-GB" w:eastAsia="ja-JP"/>
        </w:rPr>
        <w:t>L transmission or perform power backoff.</w:t>
      </w:r>
    </w:p>
    <w:p w14:paraId="7F92AA93" w14:textId="29BE6BE9" w:rsidR="00A426DF" w:rsidRPr="00F41317" w:rsidRDefault="00A426DF" w:rsidP="00F41317">
      <w:pPr>
        <w:jc w:val="center"/>
      </w:pPr>
    </w:p>
    <w:p w14:paraId="7F3BF189" w14:textId="77777777" w:rsidR="00A426DF" w:rsidRDefault="00A426DF" w:rsidP="00A426DF">
      <w:pPr>
        <w:keepNext/>
      </w:pPr>
      <w:r w:rsidRPr="00A426DF">
        <w:rPr>
          <w:noProof/>
          <w:lang w:val="en-US" w:eastAsia="en-US"/>
        </w:rPr>
        <w:drawing>
          <wp:inline distT="0" distB="0" distL="0" distR="0" wp14:anchorId="7F3BF19F" wp14:editId="7F3BF1A0">
            <wp:extent cx="6120130" cy="1308100"/>
            <wp:effectExtent l="0" t="0" r="0" b="635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6120130" cy="1308100"/>
                    </a:xfrm>
                    <a:prstGeom prst="rect">
                      <a:avLst/>
                    </a:prstGeom>
                  </pic:spPr>
                </pic:pic>
              </a:graphicData>
            </a:graphic>
          </wp:inline>
        </w:drawing>
      </w:r>
    </w:p>
    <w:p w14:paraId="7F3BF18A" w14:textId="77777777" w:rsidR="00A426DF" w:rsidRDefault="00A426DF" w:rsidP="00A426DF">
      <w:pPr>
        <w:pStyle w:val="Caption"/>
        <w:jc w:val="center"/>
      </w:pPr>
      <w:r>
        <w:t>Figure 4 Dynamic OTA measurement, default direction UL</w:t>
      </w:r>
    </w:p>
    <w:p w14:paraId="7F3BF18B" w14:textId="7FA03D0E" w:rsidR="0098534B" w:rsidRDefault="0098534B" w:rsidP="0098534B">
      <w:r>
        <w:t xml:space="preserve">Clearly, the </w:t>
      </w:r>
      <w:r w:rsidR="0071689E">
        <w:t xml:space="preserve">benefit of this approach is requirement of </w:t>
      </w:r>
      <w:r>
        <w:t>only one OTA measurement signal (CTS) which reduces the overhead associated with dynamic measurement. Hence, we have the following proposal</w:t>
      </w:r>
      <w:r w:rsidR="0086509D">
        <w:t>.</w:t>
      </w:r>
    </w:p>
    <w:p w14:paraId="5C53F504" w14:textId="77777777" w:rsidR="00B200E2" w:rsidRPr="0086509D" w:rsidRDefault="00B200E2" w:rsidP="00B200E2">
      <w:pPr>
        <w:rPr>
          <w:b/>
          <w:i/>
          <w:lang w:eastAsia="ko-KR"/>
        </w:rPr>
      </w:pPr>
      <w:r w:rsidRPr="0086509D">
        <w:rPr>
          <w:b/>
          <w:i/>
          <w:lang w:eastAsia="ko-KR"/>
        </w:rPr>
        <w:t>Proposal 3: For dynamic TDD data channel interference management, NR considers supporting special slot structure to allow dynamic OTA measurement by leaving guard between DL PDCCH and data transmission.</w:t>
      </w:r>
    </w:p>
    <w:p w14:paraId="20742FD4" w14:textId="59AC643D" w:rsidR="003C4D7A" w:rsidRDefault="003C4D7A" w:rsidP="0098534B">
      <w:pPr>
        <w:rPr>
          <w:lang w:eastAsia="ko-KR"/>
        </w:rPr>
      </w:pPr>
      <w:r>
        <w:rPr>
          <w:lang w:eastAsia="ko-KR"/>
        </w:rPr>
        <w:t xml:space="preserve">It is important to note that different ways can be used to indicate </w:t>
      </w:r>
      <w:r w:rsidR="00EB102E">
        <w:rPr>
          <w:lang w:eastAsia="ko-KR"/>
        </w:rPr>
        <w:t xml:space="preserve">to UE </w:t>
      </w:r>
      <w:r>
        <w:rPr>
          <w:lang w:eastAsia="ko-KR"/>
        </w:rPr>
        <w:t xml:space="preserve">the </w:t>
      </w:r>
      <w:r w:rsidR="00214937">
        <w:rPr>
          <w:lang w:eastAsia="ko-KR"/>
        </w:rPr>
        <w:t>existence of</w:t>
      </w:r>
      <w:r>
        <w:rPr>
          <w:lang w:eastAsia="ko-KR"/>
        </w:rPr>
        <w:t xml:space="preserve"> gap for supporting of dynamic OTA measur</w:t>
      </w:r>
      <w:r w:rsidR="00692F01">
        <w:rPr>
          <w:lang w:eastAsia="ko-KR"/>
        </w:rPr>
        <w:t>ement for dynamic TDD operation. O</w:t>
      </w:r>
      <w:r>
        <w:rPr>
          <w:lang w:eastAsia="ko-KR"/>
        </w:rPr>
        <w:t xml:space="preserve">ne solution that can reduce control overhead is to use </w:t>
      </w:r>
      <w:r w:rsidR="00765B1A">
        <w:rPr>
          <w:lang w:eastAsia="ko-KR"/>
        </w:rPr>
        <w:t xml:space="preserve">group common PDCCH which is </w:t>
      </w:r>
      <w:r>
        <w:rPr>
          <w:lang w:eastAsia="ko-KR"/>
        </w:rPr>
        <w:t xml:space="preserve">described in more details in </w:t>
      </w:r>
      <w:r w:rsidR="00765B1A">
        <w:rPr>
          <w:lang w:eastAsia="ko-KR"/>
        </w:rPr>
        <w:t xml:space="preserve">our contribution </w:t>
      </w:r>
      <w:r w:rsidR="00383B11">
        <w:rPr>
          <w:lang w:eastAsia="ko-KR"/>
        </w:rPr>
        <w:t>[5</w:t>
      </w:r>
      <w:r w:rsidR="004A5F86">
        <w:rPr>
          <w:lang w:eastAsia="ko-KR"/>
        </w:rPr>
        <w:t>]</w:t>
      </w:r>
      <w:r w:rsidR="00765B1A">
        <w:rPr>
          <w:lang w:eastAsia="ko-KR"/>
        </w:rPr>
        <w:t>.</w:t>
      </w:r>
    </w:p>
    <w:p w14:paraId="39EB575E" w14:textId="11D9D5CE" w:rsidR="00A8376E" w:rsidRPr="0086509D" w:rsidRDefault="00387FC6" w:rsidP="0098534B">
      <w:pPr>
        <w:rPr>
          <w:b/>
          <w:i/>
          <w:lang w:eastAsia="ko-KR"/>
        </w:rPr>
      </w:pPr>
      <w:r w:rsidRPr="0086509D">
        <w:rPr>
          <w:b/>
          <w:i/>
          <w:lang w:eastAsia="ko-KR"/>
        </w:rPr>
        <w:t>Proposal 4</w:t>
      </w:r>
      <w:r w:rsidR="00A8376E" w:rsidRPr="0086509D">
        <w:rPr>
          <w:b/>
          <w:i/>
          <w:lang w:eastAsia="ko-KR"/>
        </w:rPr>
        <w:t xml:space="preserve">: </w:t>
      </w:r>
      <w:r w:rsidR="00726339" w:rsidRPr="0086509D">
        <w:rPr>
          <w:b/>
          <w:i/>
          <w:lang w:eastAsia="ko-KR"/>
        </w:rPr>
        <w:t>NR considers group common PDCCH for indication of the special slot with gap between DL P</w:t>
      </w:r>
      <w:r w:rsidR="00692F01">
        <w:rPr>
          <w:b/>
          <w:i/>
          <w:lang w:eastAsia="ko-KR"/>
        </w:rPr>
        <w:t>D</w:t>
      </w:r>
      <w:r w:rsidR="00726339" w:rsidRPr="0086509D">
        <w:rPr>
          <w:b/>
          <w:i/>
          <w:lang w:eastAsia="ko-KR"/>
        </w:rPr>
        <w:t>CCH and data transmission.</w:t>
      </w:r>
    </w:p>
    <w:p w14:paraId="050E0032" w14:textId="7EC13BEE" w:rsidR="00CD2AFC" w:rsidRDefault="00CD2AFC" w:rsidP="0098534B">
      <w:pPr>
        <w:rPr>
          <w:lang w:eastAsia="ko-KR"/>
        </w:rPr>
      </w:pPr>
      <w:r>
        <w:rPr>
          <w:lang w:eastAsia="ko-KR"/>
        </w:rPr>
        <w:t xml:space="preserve">It is important to consider the forward compatibility implications of such signalling. Specifically, legacy UEs must be able to interpret the indication of the presence of a gap between DL PDCCH and data transmission. </w:t>
      </w:r>
    </w:p>
    <w:p w14:paraId="3004DA91" w14:textId="25929FED" w:rsidR="009B1242" w:rsidRDefault="00C77264" w:rsidP="0098534B">
      <w:pPr>
        <w:rPr>
          <w:lang w:eastAsia="ko-KR"/>
        </w:rPr>
      </w:pPr>
      <w:r>
        <w:rPr>
          <w:lang w:eastAsia="ko-KR"/>
        </w:rPr>
        <w:t>Last and not the least, we compare the proposed two</w:t>
      </w:r>
      <w:r w:rsidR="001F2903">
        <w:rPr>
          <w:lang w:eastAsia="ko-KR"/>
        </w:rPr>
        <w:t xml:space="preserve"> data channel</w:t>
      </w:r>
      <w:r>
        <w:rPr>
          <w:lang w:eastAsia="ko-KR"/>
        </w:rPr>
        <w:t xml:space="preserve"> </w:t>
      </w:r>
      <w:r w:rsidR="001F2903">
        <w:rPr>
          <w:lang w:eastAsia="ko-KR"/>
        </w:rPr>
        <w:t>interference management schemes</w:t>
      </w:r>
      <w:r>
        <w:rPr>
          <w:lang w:eastAsia="ko-KR"/>
        </w:rPr>
        <w:t xml:space="preserve"> </w:t>
      </w:r>
    </w:p>
    <w:p w14:paraId="0091B09B" w14:textId="77777777" w:rsidR="00C77264" w:rsidRDefault="00C77264" w:rsidP="0098534B">
      <w:pPr>
        <w:rPr>
          <w:lang w:eastAsia="ko-KR"/>
        </w:rPr>
      </w:pPr>
    </w:p>
    <w:p w14:paraId="7030DF94" w14:textId="77777777" w:rsidR="00C77264" w:rsidRDefault="00C77264" w:rsidP="0098534B">
      <w:pPr>
        <w:rPr>
          <w:lang w:eastAsia="ko-KR"/>
        </w:rPr>
      </w:pPr>
    </w:p>
    <w:p w14:paraId="1DFE3697" w14:textId="77777777" w:rsidR="00C77264" w:rsidRDefault="00C77264" w:rsidP="0098534B">
      <w:pPr>
        <w:rPr>
          <w:lang w:eastAsia="ko-KR"/>
        </w:rPr>
      </w:pPr>
    </w:p>
    <w:p w14:paraId="3C810D9B" w14:textId="77777777" w:rsidR="00C77264" w:rsidRDefault="00C77264" w:rsidP="0098534B">
      <w:pPr>
        <w:rPr>
          <w:lang w:eastAsia="ko-KR"/>
        </w:rPr>
      </w:pPr>
    </w:p>
    <w:p w14:paraId="3DF3C97A" w14:textId="77777777" w:rsidR="00C77264" w:rsidRDefault="00C77264" w:rsidP="0098534B">
      <w:pPr>
        <w:rPr>
          <w:lang w:eastAsia="ko-KR"/>
        </w:rPr>
      </w:pPr>
    </w:p>
    <w:p w14:paraId="7CF9FAC4" w14:textId="76F9D1B9" w:rsidR="00C77264" w:rsidRDefault="00C77264" w:rsidP="00C77264">
      <w:pPr>
        <w:pStyle w:val="Caption"/>
        <w:keepNext/>
        <w:jc w:val="center"/>
      </w:pPr>
      <w:r>
        <w:t xml:space="preserve">Table </w:t>
      </w:r>
      <w:r>
        <w:fldChar w:fldCharType="begin"/>
      </w:r>
      <w:r>
        <w:instrText xml:space="preserve"> SEQ Table \* ARABIC </w:instrText>
      </w:r>
      <w:r>
        <w:fldChar w:fldCharType="separate"/>
      </w:r>
      <w:r w:rsidR="005901E5">
        <w:rPr>
          <w:noProof/>
        </w:rPr>
        <w:t>1</w:t>
      </w:r>
      <w:r>
        <w:fldChar w:fldCharType="end"/>
      </w:r>
      <w:r>
        <w:t xml:space="preserve"> </w:t>
      </w:r>
      <w:r w:rsidR="001F2903">
        <w:t>d</w:t>
      </w:r>
      <w:r>
        <w:t xml:space="preserve">ata </w:t>
      </w:r>
      <w:r w:rsidR="001F2903">
        <w:t>channel i</w:t>
      </w:r>
      <w:r>
        <w:t>nterference management scheme comparison</w:t>
      </w:r>
    </w:p>
    <w:tbl>
      <w:tblPr>
        <w:tblW w:w="8708" w:type="dxa"/>
        <w:tblInd w:w="-5" w:type="dxa"/>
        <w:tblLook w:val="04A0" w:firstRow="1" w:lastRow="0" w:firstColumn="1" w:lastColumn="0" w:noHBand="0" w:noVBand="1"/>
      </w:tblPr>
      <w:tblGrid>
        <w:gridCol w:w="1728"/>
        <w:gridCol w:w="4080"/>
        <w:gridCol w:w="2900"/>
      </w:tblGrid>
      <w:tr w:rsidR="00C77264" w:rsidRPr="00C77264" w14:paraId="4E4EADF0" w14:textId="77777777" w:rsidTr="009D2F7C">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3B1E"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w:t>
            </w:r>
          </w:p>
        </w:tc>
        <w:tc>
          <w:tcPr>
            <w:tcW w:w="4080" w:type="dxa"/>
            <w:tcBorders>
              <w:top w:val="single" w:sz="4" w:space="0" w:color="auto"/>
              <w:left w:val="nil"/>
              <w:bottom w:val="single" w:sz="4" w:space="0" w:color="auto"/>
              <w:right w:val="single" w:sz="4" w:space="0" w:color="auto"/>
            </w:tcBorders>
            <w:shd w:val="clear" w:color="auto" w:fill="auto"/>
            <w:noWrap/>
            <w:vAlign w:val="center"/>
            <w:hideMark/>
          </w:tcPr>
          <w:p w14:paraId="0C53C32C" w14:textId="77777777" w:rsidR="00C77264" w:rsidRPr="00C77264" w:rsidRDefault="00C77264" w:rsidP="00C77264">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900" w:type="dxa"/>
            <w:tcBorders>
              <w:top w:val="single" w:sz="4" w:space="0" w:color="auto"/>
              <w:left w:val="nil"/>
              <w:bottom w:val="single" w:sz="4" w:space="0" w:color="auto"/>
              <w:right w:val="single" w:sz="4" w:space="0" w:color="auto"/>
            </w:tcBorders>
            <w:shd w:val="clear" w:color="auto" w:fill="auto"/>
            <w:noWrap/>
            <w:vAlign w:val="center"/>
            <w:hideMark/>
          </w:tcPr>
          <w:p w14:paraId="0473173A" w14:textId="77777777" w:rsidR="00C77264" w:rsidRPr="00C77264" w:rsidRDefault="00C77264" w:rsidP="00C77264">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 xml:space="preserve">Dynamic OTA measurement </w:t>
            </w:r>
          </w:p>
        </w:tc>
      </w:tr>
      <w:tr w:rsidR="00C77264" w:rsidRPr="00C77264" w14:paraId="7F8A5047" w14:textId="77777777" w:rsidTr="009D2F7C">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B73ADEC"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4080" w:type="dxa"/>
            <w:tcBorders>
              <w:top w:val="nil"/>
              <w:left w:val="nil"/>
              <w:bottom w:val="single" w:sz="4" w:space="0" w:color="auto"/>
              <w:right w:val="single" w:sz="4" w:space="0" w:color="auto"/>
            </w:tcBorders>
            <w:shd w:val="clear" w:color="auto" w:fill="auto"/>
            <w:vAlign w:val="center"/>
            <w:hideMark/>
          </w:tcPr>
          <w:p w14:paraId="5FE4197D" w14:textId="77777777"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(gNB to exchange measurement report semi-statically, especially for UE to UE)</w:t>
            </w:r>
          </w:p>
        </w:tc>
        <w:tc>
          <w:tcPr>
            <w:tcW w:w="2900" w:type="dxa"/>
            <w:tcBorders>
              <w:top w:val="nil"/>
              <w:left w:val="nil"/>
              <w:bottom w:val="single" w:sz="4" w:space="0" w:color="auto"/>
              <w:right w:val="single" w:sz="4" w:space="0" w:color="auto"/>
            </w:tcBorders>
            <w:shd w:val="clear" w:color="auto" w:fill="auto"/>
            <w:noWrap/>
            <w:vAlign w:val="center"/>
            <w:hideMark/>
          </w:tcPr>
          <w:p w14:paraId="4CB2B9AF" w14:textId="77777777"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r>
      <w:tr w:rsidR="00C77264" w:rsidRPr="00C77264" w14:paraId="3BDDB2BE" w14:textId="77777777" w:rsidTr="009D2F7C">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7836AE99"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4080" w:type="dxa"/>
            <w:tcBorders>
              <w:top w:val="nil"/>
              <w:left w:val="nil"/>
              <w:bottom w:val="single" w:sz="4" w:space="0" w:color="auto"/>
              <w:right w:val="single" w:sz="4" w:space="0" w:color="auto"/>
            </w:tcBorders>
            <w:shd w:val="clear" w:color="auto" w:fill="auto"/>
            <w:vAlign w:val="center"/>
            <w:hideMark/>
          </w:tcPr>
          <w:p w14:paraId="64D518B1" w14:textId="77777777"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(measurement can be done in minutes order)</w:t>
            </w:r>
          </w:p>
        </w:tc>
        <w:tc>
          <w:tcPr>
            <w:tcW w:w="2900" w:type="dxa"/>
            <w:tcBorders>
              <w:top w:val="nil"/>
              <w:left w:val="nil"/>
              <w:bottom w:val="single" w:sz="4" w:space="0" w:color="auto"/>
              <w:right w:val="single" w:sz="4" w:space="0" w:color="auto"/>
            </w:tcBorders>
            <w:shd w:val="clear" w:color="auto" w:fill="auto"/>
            <w:vAlign w:val="center"/>
            <w:hideMark/>
          </w:tcPr>
          <w:p w14:paraId="5E213AE8" w14:textId="56334148"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w:t>
            </w:r>
            <w:r w:rsidR="002D09C0">
              <w:rPr>
                <w:rFonts w:ascii="Calibri" w:eastAsia="Times New Roman" w:hAnsi="Calibri"/>
                <w:szCs w:val="24"/>
                <w:lang w:val="en-US" w:eastAsia="zh-CN"/>
              </w:rPr>
              <w:t xml:space="preserve">up to </w:t>
            </w:r>
            <w:r w:rsidRPr="00C77264">
              <w:rPr>
                <w:rFonts w:ascii="Calibri" w:eastAsia="Times New Roman" w:hAnsi="Calibri"/>
                <w:szCs w:val="24"/>
                <w:lang w:val="en-US" w:eastAsia="zh-CN"/>
              </w:rPr>
              <w:t>10-20%)</w:t>
            </w:r>
          </w:p>
        </w:tc>
      </w:tr>
      <w:tr w:rsidR="00C77264" w:rsidRPr="00C77264" w14:paraId="158B02ED" w14:textId="77777777" w:rsidTr="009D2F7C">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431F0268"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4080" w:type="dxa"/>
            <w:tcBorders>
              <w:top w:val="nil"/>
              <w:left w:val="nil"/>
              <w:bottom w:val="single" w:sz="4" w:space="0" w:color="auto"/>
              <w:right w:val="single" w:sz="4" w:space="0" w:color="auto"/>
            </w:tcBorders>
            <w:shd w:val="clear" w:color="auto" w:fill="auto"/>
            <w:noWrap/>
            <w:vAlign w:val="center"/>
            <w:hideMark/>
          </w:tcPr>
          <w:p w14:paraId="17AC3264" w14:textId="77777777"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900" w:type="dxa"/>
            <w:tcBorders>
              <w:top w:val="nil"/>
              <w:left w:val="nil"/>
              <w:bottom w:val="single" w:sz="4" w:space="0" w:color="auto"/>
              <w:right w:val="single" w:sz="4" w:space="0" w:color="auto"/>
            </w:tcBorders>
            <w:shd w:val="clear" w:color="auto" w:fill="auto"/>
            <w:noWrap/>
            <w:vAlign w:val="center"/>
            <w:hideMark/>
          </w:tcPr>
          <w:p w14:paraId="4415DB4D" w14:textId="77777777"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r>
      <w:tr w:rsidR="00C77264" w:rsidRPr="00C77264" w14:paraId="718B1AD7" w14:textId="77777777" w:rsidTr="009D2F7C">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10FBEB6F"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4080" w:type="dxa"/>
            <w:tcBorders>
              <w:top w:val="nil"/>
              <w:left w:val="nil"/>
              <w:bottom w:val="single" w:sz="4" w:space="0" w:color="auto"/>
              <w:right w:val="single" w:sz="4" w:space="0" w:color="auto"/>
            </w:tcBorders>
            <w:shd w:val="clear" w:color="auto" w:fill="auto"/>
            <w:vAlign w:val="center"/>
            <w:hideMark/>
          </w:tcPr>
          <w:p w14:paraId="2B83B0AE" w14:textId="77777777"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gNB to gNB: OTA measurement slot structure</w:t>
            </w:r>
            <w:r w:rsidRPr="00C77264">
              <w:rPr>
                <w:rFonts w:ascii="Calibri" w:eastAsia="Times New Roman" w:hAnsi="Calibri"/>
                <w:szCs w:val="24"/>
                <w:lang w:val="en-US" w:eastAsia="zh-CN"/>
              </w:rPr>
              <w:br/>
              <w:t>(2) UE to UE: OTA measurement slot structure and measurement feedback</w:t>
            </w:r>
          </w:p>
        </w:tc>
        <w:tc>
          <w:tcPr>
            <w:tcW w:w="2900" w:type="dxa"/>
            <w:tcBorders>
              <w:top w:val="nil"/>
              <w:left w:val="nil"/>
              <w:bottom w:val="single" w:sz="4" w:space="0" w:color="auto"/>
              <w:right w:val="single" w:sz="4" w:space="0" w:color="auto"/>
            </w:tcBorders>
            <w:shd w:val="clear" w:color="auto" w:fill="auto"/>
            <w:vAlign w:val="center"/>
            <w:hideMark/>
          </w:tcPr>
          <w:p w14:paraId="761DD541" w14:textId="77777777" w:rsidR="00C77264" w:rsidRPr="00C77264" w:rsidRDefault="00C77264" w:rsidP="002D09C0">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r>
    </w:tbl>
    <w:p w14:paraId="4541C577" w14:textId="77777777" w:rsidR="009B1242" w:rsidRPr="0098534B" w:rsidRDefault="009B1242" w:rsidP="0098534B">
      <w:pPr>
        <w:rPr>
          <w:lang w:eastAsia="ko-KR"/>
        </w:rPr>
      </w:pPr>
    </w:p>
    <w:p w14:paraId="7F3BF18D" w14:textId="403EBAAB" w:rsidR="00791ADC" w:rsidRDefault="00535FF6" w:rsidP="0046556F">
      <w:pPr>
        <w:pStyle w:val="Heading1"/>
      </w:pPr>
      <w:r>
        <w:t>4</w:t>
      </w:r>
      <w:r w:rsidR="00087579">
        <w:t>.</w:t>
      </w:r>
      <w:r w:rsidR="00087579">
        <w:tab/>
      </w:r>
      <w:r w:rsidR="00791ADC">
        <w:t>Conclusion</w:t>
      </w:r>
    </w:p>
    <w:p w14:paraId="7F3BF18E" w14:textId="079F09B3" w:rsidR="007F3FD7" w:rsidRDefault="00A20C17" w:rsidP="008D7609">
      <w:r>
        <w:t xml:space="preserve">In this contribution, </w:t>
      </w:r>
      <w:r w:rsidR="007F3FD7">
        <w:t xml:space="preserve">we </w:t>
      </w:r>
      <w:r w:rsidR="001805B3">
        <w:t>propose</w:t>
      </w:r>
      <w:r w:rsidR="00D43379">
        <w:t xml:space="preserve"> </w:t>
      </w:r>
      <w:r w:rsidR="007F3FD7">
        <w:t>two solution</w:t>
      </w:r>
      <w:r w:rsidR="00D43379">
        <w:t>s</w:t>
      </w:r>
      <w:r w:rsidR="007F3FD7">
        <w:t xml:space="preserve"> for the dynamic TDD interference management, especially for the data channel</w:t>
      </w:r>
      <w:r w:rsidR="001805B3">
        <w:t>:</w:t>
      </w:r>
    </w:p>
    <w:p w14:paraId="7F3BF18F" w14:textId="77777777" w:rsidR="007F3FD7" w:rsidRPr="004D3BC9" w:rsidRDefault="007F3FD7" w:rsidP="00340085">
      <w:pPr>
        <w:pStyle w:val="ListParagraph"/>
        <w:numPr>
          <w:ilvl w:val="0"/>
          <w:numId w:val="14"/>
        </w:numPr>
        <w:rPr>
          <w:sz w:val="20"/>
        </w:rPr>
      </w:pPr>
      <w:r w:rsidRPr="004D3BC9">
        <w:rPr>
          <w:sz w:val="20"/>
        </w:rPr>
        <w:t>Semi static OTA interference measurement</w:t>
      </w:r>
      <w:r w:rsidR="00340085" w:rsidRPr="004D3BC9">
        <w:rPr>
          <w:sz w:val="20"/>
        </w:rPr>
        <w:t xml:space="preserve"> (on the order of seconds or longer)</w:t>
      </w:r>
    </w:p>
    <w:p w14:paraId="7F3BF191" w14:textId="69E4B3CA" w:rsidR="00FB6585" w:rsidRDefault="00340085" w:rsidP="00667DA7">
      <w:pPr>
        <w:pStyle w:val="ListParagraph"/>
        <w:numPr>
          <w:ilvl w:val="0"/>
          <w:numId w:val="14"/>
        </w:numPr>
        <w:rPr>
          <w:sz w:val="20"/>
        </w:rPr>
      </w:pPr>
      <w:r w:rsidRPr="004D3BC9">
        <w:rPr>
          <w:sz w:val="20"/>
        </w:rPr>
        <w:t>Dynamic OTA measurement (per scheduling basis)</w:t>
      </w:r>
    </w:p>
    <w:p w14:paraId="4D26F07C" w14:textId="77777777" w:rsidR="00982886" w:rsidRPr="00982886" w:rsidRDefault="00982886" w:rsidP="00AC0709">
      <w:pPr>
        <w:pStyle w:val="ListParagraph"/>
        <w:rPr>
          <w:sz w:val="20"/>
        </w:rPr>
      </w:pPr>
    </w:p>
    <w:p w14:paraId="7F3BF192" w14:textId="51FEF9D7" w:rsidR="00FB6585" w:rsidRDefault="00FB6585" w:rsidP="00667DA7">
      <w:r>
        <w:t xml:space="preserve">Below </w:t>
      </w:r>
      <w:r w:rsidR="001805B3">
        <w:t xml:space="preserve">is </w:t>
      </w:r>
      <w:r>
        <w:t xml:space="preserve">the summary of our </w:t>
      </w:r>
      <w:r w:rsidR="00825DCB">
        <w:t>proposals</w:t>
      </w:r>
      <w:r w:rsidR="001805B3">
        <w:t>:</w:t>
      </w:r>
    </w:p>
    <w:p w14:paraId="09F6F364" w14:textId="77777777" w:rsidR="006621F3" w:rsidRPr="00BD678F" w:rsidRDefault="006621F3" w:rsidP="006621F3">
      <w:pPr>
        <w:rPr>
          <w:b/>
          <w:i/>
          <w:lang w:eastAsia="ko-KR"/>
        </w:rPr>
      </w:pPr>
      <w:r w:rsidRPr="00BD678F">
        <w:rPr>
          <w:b/>
          <w:i/>
          <w:lang w:eastAsia="ko-KR"/>
        </w:rPr>
        <w:t>Proposal 1: For dynamic TDD control channel interference management, NR should allow static frequency and time resource for control channel transmission, avoid data to control channel cross link interference and dynamic DL/UL direction switch for control channel.</w:t>
      </w:r>
    </w:p>
    <w:p w14:paraId="4B9E464E" w14:textId="0113F64F" w:rsidR="00817403" w:rsidRPr="00BD678F" w:rsidRDefault="00817403" w:rsidP="00BE55A2">
      <w:pPr>
        <w:rPr>
          <w:b/>
          <w:i/>
          <w:lang w:eastAsia="ko-KR"/>
        </w:rPr>
      </w:pPr>
      <w:r w:rsidRPr="00BD678F">
        <w:rPr>
          <w:b/>
          <w:i/>
          <w:lang w:eastAsia="ko-KR"/>
        </w:rPr>
        <w:t xml:space="preserve">Proposal 2: </w:t>
      </w:r>
      <w:r w:rsidR="004B165F" w:rsidRPr="00BD678F">
        <w:rPr>
          <w:b/>
          <w:i/>
          <w:lang w:eastAsia="ko-KR"/>
        </w:rPr>
        <w:t xml:space="preserve">For dynamic TDD data channel interference management, </w:t>
      </w:r>
      <w:r w:rsidRPr="00BD678F">
        <w:rPr>
          <w:b/>
          <w:i/>
          <w:lang w:eastAsia="ko-KR"/>
        </w:rPr>
        <w:t xml:space="preserve">NR considers supporting special slot structure and mechanisms to allow the sounding of BS to BS and UE to UE </w:t>
      </w:r>
      <w:r w:rsidR="00BD678F">
        <w:rPr>
          <w:b/>
          <w:i/>
          <w:lang w:eastAsia="ko-KR"/>
        </w:rPr>
        <w:t>links</w:t>
      </w:r>
      <w:r w:rsidRPr="00BD678F">
        <w:rPr>
          <w:b/>
          <w:i/>
          <w:lang w:eastAsia="ko-KR"/>
        </w:rPr>
        <w:t>.</w:t>
      </w:r>
    </w:p>
    <w:p w14:paraId="18545849" w14:textId="470C01BB" w:rsidR="004353E1" w:rsidRPr="00BD678F" w:rsidRDefault="004353E1" w:rsidP="00BE55A2">
      <w:pPr>
        <w:rPr>
          <w:b/>
          <w:i/>
          <w:lang w:eastAsia="ko-KR"/>
        </w:rPr>
      </w:pPr>
      <w:r w:rsidRPr="00BD678F">
        <w:rPr>
          <w:b/>
          <w:i/>
          <w:lang w:eastAsia="ko-KR"/>
        </w:rPr>
        <w:t xml:space="preserve">Proposal 3: </w:t>
      </w:r>
      <w:r w:rsidR="004B165F" w:rsidRPr="00BD678F">
        <w:rPr>
          <w:b/>
          <w:i/>
          <w:lang w:eastAsia="ko-KR"/>
        </w:rPr>
        <w:t xml:space="preserve">For dynamic TDD data channel interference management, </w:t>
      </w:r>
      <w:r w:rsidRPr="00BD678F">
        <w:rPr>
          <w:b/>
          <w:i/>
          <w:lang w:eastAsia="ko-KR"/>
        </w:rPr>
        <w:t>NR considers supporting special slot structure to allow dynamic OTA measurement by leaving guard between DL PDCCH and data transmission.</w:t>
      </w:r>
    </w:p>
    <w:p w14:paraId="5B07AD18" w14:textId="1C23EE3F" w:rsidR="004353E1" w:rsidRPr="00BD678F" w:rsidRDefault="004353E1" w:rsidP="004353E1">
      <w:pPr>
        <w:rPr>
          <w:b/>
          <w:i/>
          <w:lang w:eastAsia="ko-KR"/>
        </w:rPr>
      </w:pPr>
      <w:r w:rsidRPr="00BD678F">
        <w:rPr>
          <w:b/>
          <w:i/>
          <w:lang w:eastAsia="ko-KR"/>
        </w:rPr>
        <w:t>Proposal 4: NR considers group common PDCCH for indication of the special slot with gap between DL PCCH and data transmission.</w:t>
      </w:r>
    </w:p>
    <w:p w14:paraId="06B89709" w14:textId="77777777" w:rsidR="00831D7D" w:rsidRDefault="00831D7D" w:rsidP="00831D7D">
      <w:pPr>
        <w:rPr>
          <w:lang w:eastAsia="ko-KR"/>
        </w:rPr>
      </w:pPr>
      <w:r>
        <w:rPr>
          <w:b/>
          <w:lang w:eastAsia="ko-KR"/>
        </w:rPr>
        <w:t xml:space="preserve">Observation: </w:t>
      </w:r>
      <w:r>
        <w:rPr>
          <w:lang w:eastAsia="ko-KR"/>
        </w:rPr>
        <w:t>Following table summarizes the comparison of two proposed data channel interference management schemes</w:t>
      </w:r>
    </w:p>
    <w:p w14:paraId="1C233462" w14:textId="77777777" w:rsidR="00305351" w:rsidRDefault="00305351" w:rsidP="00831D7D">
      <w:pPr>
        <w:rPr>
          <w:lang w:eastAsia="ko-KR"/>
        </w:rPr>
      </w:pPr>
    </w:p>
    <w:p w14:paraId="0D9D4848" w14:textId="77777777" w:rsidR="00305351" w:rsidRDefault="00305351" w:rsidP="00831D7D">
      <w:pPr>
        <w:rPr>
          <w:lang w:eastAsia="ko-KR"/>
        </w:rPr>
      </w:pPr>
    </w:p>
    <w:p w14:paraId="65EA99DE" w14:textId="77777777" w:rsidR="00305351" w:rsidRDefault="00305351" w:rsidP="00831D7D">
      <w:pPr>
        <w:rPr>
          <w:lang w:eastAsia="ko-KR"/>
        </w:rPr>
      </w:pPr>
    </w:p>
    <w:p w14:paraId="741DBDD3" w14:textId="77777777" w:rsidR="00305351" w:rsidRDefault="00305351" w:rsidP="00831D7D">
      <w:pPr>
        <w:rPr>
          <w:lang w:eastAsia="ko-KR"/>
        </w:rPr>
      </w:pPr>
    </w:p>
    <w:p w14:paraId="3408423C" w14:textId="77777777" w:rsidR="00305351" w:rsidRDefault="00305351" w:rsidP="00831D7D">
      <w:pPr>
        <w:rPr>
          <w:lang w:eastAsia="ko-KR"/>
        </w:rPr>
      </w:pPr>
    </w:p>
    <w:p w14:paraId="3BE1D7EE" w14:textId="77777777" w:rsidR="00305351" w:rsidRDefault="00305351" w:rsidP="00831D7D">
      <w:pPr>
        <w:rPr>
          <w:lang w:eastAsia="ko-KR"/>
        </w:rPr>
      </w:pPr>
    </w:p>
    <w:p w14:paraId="6225A106" w14:textId="77777777" w:rsidR="00305351" w:rsidRDefault="00305351" w:rsidP="00831D7D">
      <w:pPr>
        <w:rPr>
          <w:lang w:eastAsia="ko-KR"/>
        </w:rPr>
      </w:pPr>
    </w:p>
    <w:tbl>
      <w:tblPr>
        <w:tblW w:w="8708" w:type="dxa"/>
        <w:tblInd w:w="-5" w:type="dxa"/>
        <w:tblLook w:val="04A0" w:firstRow="1" w:lastRow="0" w:firstColumn="1" w:lastColumn="0" w:noHBand="0" w:noVBand="1"/>
      </w:tblPr>
      <w:tblGrid>
        <w:gridCol w:w="1728"/>
        <w:gridCol w:w="4080"/>
        <w:gridCol w:w="2900"/>
      </w:tblGrid>
      <w:tr w:rsidR="009D2F7C" w:rsidRPr="00C77264" w14:paraId="29A4CB27" w14:textId="77777777" w:rsidTr="00770D16">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EFE6"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w:t>
            </w:r>
          </w:p>
        </w:tc>
        <w:tc>
          <w:tcPr>
            <w:tcW w:w="4080" w:type="dxa"/>
            <w:tcBorders>
              <w:top w:val="single" w:sz="4" w:space="0" w:color="auto"/>
              <w:left w:val="nil"/>
              <w:bottom w:val="single" w:sz="4" w:space="0" w:color="auto"/>
              <w:right w:val="single" w:sz="4" w:space="0" w:color="auto"/>
            </w:tcBorders>
            <w:shd w:val="clear" w:color="auto" w:fill="auto"/>
            <w:noWrap/>
            <w:vAlign w:val="center"/>
            <w:hideMark/>
          </w:tcPr>
          <w:p w14:paraId="331B3B9F" w14:textId="77777777" w:rsidR="009D2F7C" w:rsidRPr="00C77264" w:rsidRDefault="009D2F7C" w:rsidP="00770D16">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900" w:type="dxa"/>
            <w:tcBorders>
              <w:top w:val="single" w:sz="4" w:space="0" w:color="auto"/>
              <w:left w:val="nil"/>
              <w:bottom w:val="single" w:sz="4" w:space="0" w:color="auto"/>
              <w:right w:val="single" w:sz="4" w:space="0" w:color="auto"/>
            </w:tcBorders>
            <w:shd w:val="clear" w:color="auto" w:fill="auto"/>
            <w:noWrap/>
            <w:vAlign w:val="center"/>
            <w:hideMark/>
          </w:tcPr>
          <w:p w14:paraId="36CB2059" w14:textId="77777777" w:rsidR="009D2F7C" w:rsidRPr="00C77264" w:rsidRDefault="009D2F7C" w:rsidP="00770D16">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 xml:space="preserve">Dynamic OTA measurement </w:t>
            </w:r>
          </w:p>
        </w:tc>
      </w:tr>
      <w:tr w:rsidR="009D2F7C" w:rsidRPr="00C77264" w14:paraId="6F0B98E5" w14:textId="77777777" w:rsidTr="00770D16">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2126252"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4080" w:type="dxa"/>
            <w:tcBorders>
              <w:top w:val="nil"/>
              <w:left w:val="nil"/>
              <w:bottom w:val="single" w:sz="4" w:space="0" w:color="auto"/>
              <w:right w:val="single" w:sz="4" w:space="0" w:color="auto"/>
            </w:tcBorders>
            <w:shd w:val="clear" w:color="auto" w:fill="auto"/>
            <w:vAlign w:val="center"/>
            <w:hideMark/>
          </w:tcPr>
          <w:p w14:paraId="0652C4C0" w14:textId="77777777"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(gNB to exchange measurement report semi-statically, especially for UE to UE)</w:t>
            </w:r>
          </w:p>
        </w:tc>
        <w:tc>
          <w:tcPr>
            <w:tcW w:w="2900" w:type="dxa"/>
            <w:tcBorders>
              <w:top w:val="nil"/>
              <w:left w:val="nil"/>
              <w:bottom w:val="single" w:sz="4" w:space="0" w:color="auto"/>
              <w:right w:val="single" w:sz="4" w:space="0" w:color="auto"/>
            </w:tcBorders>
            <w:shd w:val="clear" w:color="auto" w:fill="auto"/>
            <w:noWrap/>
            <w:vAlign w:val="center"/>
            <w:hideMark/>
          </w:tcPr>
          <w:p w14:paraId="3052AEE0" w14:textId="77777777"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r>
      <w:tr w:rsidR="009D2F7C" w:rsidRPr="00C77264" w14:paraId="6F991588" w14:textId="77777777" w:rsidTr="00770D16">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2AF57B02"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4080" w:type="dxa"/>
            <w:tcBorders>
              <w:top w:val="nil"/>
              <w:left w:val="nil"/>
              <w:bottom w:val="single" w:sz="4" w:space="0" w:color="auto"/>
              <w:right w:val="single" w:sz="4" w:space="0" w:color="auto"/>
            </w:tcBorders>
            <w:shd w:val="clear" w:color="auto" w:fill="auto"/>
            <w:vAlign w:val="center"/>
            <w:hideMark/>
          </w:tcPr>
          <w:p w14:paraId="267CD245" w14:textId="176F3809"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(measurement can be done in minutes order)</w:t>
            </w:r>
          </w:p>
        </w:tc>
        <w:tc>
          <w:tcPr>
            <w:tcW w:w="2900" w:type="dxa"/>
            <w:tcBorders>
              <w:top w:val="nil"/>
              <w:left w:val="nil"/>
              <w:bottom w:val="single" w:sz="4" w:space="0" w:color="auto"/>
              <w:right w:val="single" w:sz="4" w:space="0" w:color="auto"/>
            </w:tcBorders>
            <w:shd w:val="clear" w:color="auto" w:fill="auto"/>
            <w:vAlign w:val="center"/>
            <w:hideMark/>
          </w:tcPr>
          <w:p w14:paraId="1D9B730A" w14:textId="67940C0E"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w:t>
            </w:r>
            <w:r w:rsidR="00207C41">
              <w:rPr>
                <w:rFonts w:ascii="Calibri" w:eastAsia="Times New Roman" w:hAnsi="Calibri"/>
                <w:szCs w:val="24"/>
                <w:lang w:val="en-US" w:eastAsia="zh-CN"/>
              </w:rPr>
              <w:t>up</w:t>
            </w:r>
            <w:r w:rsidR="00ED1041">
              <w:rPr>
                <w:rFonts w:ascii="Calibri" w:eastAsia="Times New Roman" w:hAnsi="Calibri"/>
                <w:szCs w:val="24"/>
                <w:lang w:val="en-US" w:eastAsia="zh-CN"/>
              </w:rPr>
              <w:t xml:space="preserve"> to </w:t>
            </w:r>
            <w:r w:rsidRPr="00C77264">
              <w:rPr>
                <w:rFonts w:ascii="Calibri" w:eastAsia="Times New Roman" w:hAnsi="Calibri"/>
                <w:szCs w:val="24"/>
                <w:lang w:val="en-US" w:eastAsia="zh-CN"/>
              </w:rPr>
              <w:t>10-20%)</w:t>
            </w:r>
          </w:p>
        </w:tc>
      </w:tr>
      <w:tr w:rsidR="009D2F7C" w:rsidRPr="00C77264" w14:paraId="344DAC9C" w14:textId="77777777" w:rsidTr="00770D16">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EDBE682"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4080" w:type="dxa"/>
            <w:tcBorders>
              <w:top w:val="nil"/>
              <w:left w:val="nil"/>
              <w:bottom w:val="single" w:sz="4" w:space="0" w:color="auto"/>
              <w:right w:val="single" w:sz="4" w:space="0" w:color="auto"/>
            </w:tcBorders>
            <w:shd w:val="clear" w:color="auto" w:fill="auto"/>
            <w:noWrap/>
            <w:vAlign w:val="center"/>
            <w:hideMark/>
          </w:tcPr>
          <w:p w14:paraId="3526FCD8" w14:textId="77777777"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900" w:type="dxa"/>
            <w:tcBorders>
              <w:top w:val="nil"/>
              <w:left w:val="nil"/>
              <w:bottom w:val="single" w:sz="4" w:space="0" w:color="auto"/>
              <w:right w:val="single" w:sz="4" w:space="0" w:color="auto"/>
            </w:tcBorders>
            <w:shd w:val="clear" w:color="auto" w:fill="auto"/>
            <w:noWrap/>
            <w:vAlign w:val="center"/>
            <w:hideMark/>
          </w:tcPr>
          <w:p w14:paraId="33BEA85C" w14:textId="77777777"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r>
      <w:tr w:rsidR="009D2F7C" w:rsidRPr="00C77264" w14:paraId="5CD43A0A" w14:textId="77777777" w:rsidTr="00770D16">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22E3B8B0"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4080" w:type="dxa"/>
            <w:tcBorders>
              <w:top w:val="nil"/>
              <w:left w:val="nil"/>
              <w:bottom w:val="single" w:sz="4" w:space="0" w:color="auto"/>
              <w:right w:val="single" w:sz="4" w:space="0" w:color="auto"/>
            </w:tcBorders>
            <w:shd w:val="clear" w:color="auto" w:fill="auto"/>
            <w:vAlign w:val="center"/>
            <w:hideMark/>
          </w:tcPr>
          <w:p w14:paraId="1530ED84" w14:textId="77777777"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gNB to gNB: OTA measurement slot structure</w:t>
            </w:r>
            <w:r w:rsidRPr="00C77264">
              <w:rPr>
                <w:rFonts w:ascii="Calibri" w:eastAsia="Times New Roman" w:hAnsi="Calibri"/>
                <w:szCs w:val="24"/>
                <w:lang w:val="en-US" w:eastAsia="zh-CN"/>
              </w:rPr>
              <w:br/>
              <w:t>(2) UE to UE: OTA measurement slot structure and measurement feedback</w:t>
            </w:r>
          </w:p>
        </w:tc>
        <w:tc>
          <w:tcPr>
            <w:tcW w:w="2900" w:type="dxa"/>
            <w:tcBorders>
              <w:top w:val="nil"/>
              <w:left w:val="nil"/>
              <w:bottom w:val="single" w:sz="4" w:space="0" w:color="auto"/>
              <w:right w:val="single" w:sz="4" w:space="0" w:color="auto"/>
            </w:tcBorders>
            <w:shd w:val="clear" w:color="auto" w:fill="auto"/>
            <w:vAlign w:val="center"/>
            <w:hideMark/>
          </w:tcPr>
          <w:p w14:paraId="11148F90" w14:textId="77777777" w:rsidR="009D2F7C" w:rsidRPr="00C77264" w:rsidRDefault="009D2F7C" w:rsidP="00BA68F5">
            <w:pPr>
              <w:overflowPunct/>
              <w:autoSpaceDE/>
              <w:autoSpaceDN/>
              <w:adjustRightInd/>
              <w:spacing w:after="0"/>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r>
    </w:tbl>
    <w:p w14:paraId="5762F54B" w14:textId="77777777" w:rsidR="00831D7D" w:rsidRPr="0098534B" w:rsidRDefault="00831D7D" w:rsidP="004353E1">
      <w:pPr>
        <w:rPr>
          <w:lang w:eastAsia="ko-KR"/>
        </w:rPr>
      </w:pPr>
    </w:p>
    <w:p w14:paraId="7F3BF195" w14:textId="4929549C" w:rsidR="00145B84" w:rsidRDefault="00535FF6" w:rsidP="00145B84">
      <w:pPr>
        <w:pStyle w:val="Heading1"/>
      </w:pPr>
      <w:r>
        <w:t>5</w:t>
      </w:r>
      <w:r w:rsidR="00145B84">
        <w:t xml:space="preserve">. </w:t>
      </w:r>
      <w:r w:rsidR="00145B84">
        <w:tab/>
        <w:t>Reference</w:t>
      </w:r>
    </w:p>
    <w:p w14:paraId="7F3BF196" w14:textId="77777777" w:rsidR="005C0042" w:rsidRDefault="00D0708A" w:rsidP="00F651A7">
      <w:pPr>
        <w:numPr>
          <w:ilvl w:val="0"/>
          <w:numId w:val="3"/>
        </w:numPr>
      </w:pPr>
      <w:bookmarkStart w:id="4" w:name="_Ref462307790"/>
      <w:bookmarkStart w:id="5" w:name="_Ref446333722"/>
      <w:bookmarkStart w:id="6" w:name="_Ref458067121"/>
      <w:bookmarkStart w:id="7" w:name="_Ref458773979"/>
      <w:r>
        <w:t xml:space="preserve">3GPP Technical Report </w:t>
      </w:r>
      <w:r w:rsidR="00850E10">
        <w:t>36.828</w:t>
      </w:r>
      <w:r w:rsidR="00397FBF">
        <w:t xml:space="preserve">, </w:t>
      </w:r>
      <w:r w:rsidR="0079212E">
        <w:t>“</w:t>
      </w:r>
      <w:r w:rsidR="0079212E" w:rsidRPr="0079212E">
        <w:t>Further enhancements to LTE Time Division Duplex (TDD) for Downlink-Uplink (DL-UL) interference management and traffic adaptation</w:t>
      </w:r>
      <w:r w:rsidR="0079212E">
        <w:t>”</w:t>
      </w:r>
      <w:bookmarkEnd w:id="4"/>
    </w:p>
    <w:p w14:paraId="7F3BF197" w14:textId="77777777" w:rsidR="00DE0013" w:rsidRDefault="0029100A" w:rsidP="00F651A7">
      <w:pPr>
        <w:numPr>
          <w:ilvl w:val="0"/>
          <w:numId w:val="3"/>
        </w:numPr>
      </w:pPr>
      <w:r>
        <w:t>3GPP RAN1 #87 Chairman notes</w:t>
      </w:r>
    </w:p>
    <w:p w14:paraId="3F69B65E" w14:textId="07161CCA" w:rsidR="00386F7E" w:rsidRDefault="00386F7E" w:rsidP="00F17BB4">
      <w:pPr>
        <w:numPr>
          <w:ilvl w:val="0"/>
          <w:numId w:val="3"/>
        </w:numPr>
      </w:pPr>
      <w:r>
        <w:t xml:space="preserve">3GPP RAN1 </w:t>
      </w:r>
      <w:r w:rsidR="00D03F9F">
        <w:t xml:space="preserve">AdHoc, Jan. 2017, Spokane, </w:t>
      </w:r>
      <w:r>
        <w:t>#87 Chairman notes</w:t>
      </w:r>
    </w:p>
    <w:p w14:paraId="7F3BF198" w14:textId="449124E3" w:rsidR="00842866" w:rsidRDefault="00F66554" w:rsidP="00F66554">
      <w:pPr>
        <w:numPr>
          <w:ilvl w:val="0"/>
          <w:numId w:val="3"/>
        </w:numPr>
      </w:pPr>
      <w:bookmarkStart w:id="8" w:name="_Ref478120193"/>
      <w:r w:rsidRPr="00F66554">
        <w:t>R1-1702648</w:t>
      </w:r>
      <w:r w:rsidR="005F7BEE">
        <w:t xml:space="preserve">, </w:t>
      </w:r>
      <w:r w:rsidR="006F269B" w:rsidRPr="003E629C">
        <w:t>“</w:t>
      </w:r>
      <w:r w:rsidR="006F269B" w:rsidRPr="006F269B">
        <w:t>Dynamic TDD performance evaluation</w:t>
      </w:r>
      <w:r w:rsidR="006F269B">
        <w:t>”, Qualcomm Incorporated</w:t>
      </w:r>
      <w:bookmarkEnd w:id="8"/>
    </w:p>
    <w:p w14:paraId="69E89EC0" w14:textId="1BC60101" w:rsidR="003C4D7A" w:rsidRDefault="00E03CC9" w:rsidP="00E03CC9">
      <w:pPr>
        <w:numPr>
          <w:ilvl w:val="0"/>
          <w:numId w:val="3"/>
        </w:numPr>
      </w:pPr>
      <w:r w:rsidRPr="00E03CC9">
        <w:t>R1-1702626</w:t>
      </w:r>
      <w:r w:rsidR="00901BDD">
        <w:t>, “</w:t>
      </w:r>
      <w:r w:rsidR="007E2AF1" w:rsidRPr="007E2AF1">
        <w:t>View on group common PDCCH</w:t>
      </w:r>
      <w:r w:rsidR="00901BDD">
        <w:t>”, Qualcomm Incorporated</w:t>
      </w:r>
    </w:p>
    <w:bookmarkEnd w:id="5"/>
    <w:bookmarkEnd w:id="6"/>
    <w:bookmarkEnd w:id="7"/>
    <w:p w14:paraId="7F3BF199" w14:textId="77777777" w:rsidR="00397FBF" w:rsidRPr="00625C17" w:rsidRDefault="00625C17" w:rsidP="00625C17">
      <w:pPr>
        <w:tabs>
          <w:tab w:val="left" w:pos="2820"/>
        </w:tabs>
      </w:pPr>
      <w:r>
        <w:tab/>
      </w:r>
    </w:p>
    <w:sectPr w:rsidR="00397FBF" w:rsidRPr="00625C17" w:rsidSect="00335666">
      <w:headerReference w:type="even" r:id="rId20"/>
      <w:footerReference w:type="default" r:id="rId21"/>
      <w:pgSz w:w="11906" w:h="16838" w:code="9"/>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AD00C" w14:textId="77777777" w:rsidR="001D29BF" w:rsidRDefault="001D29BF">
      <w:r>
        <w:separator/>
      </w:r>
    </w:p>
    <w:p w14:paraId="78AC1D8B" w14:textId="77777777" w:rsidR="001D29BF" w:rsidRDefault="001D29BF"/>
  </w:endnote>
  <w:endnote w:type="continuationSeparator" w:id="0">
    <w:p w14:paraId="6F9DABF6" w14:textId="77777777" w:rsidR="001D29BF" w:rsidRDefault="001D29BF">
      <w:r>
        <w:continuationSeparator/>
      </w:r>
    </w:p>
    <w:p w14:paraId="0EDAEFD6" w14:textId="77777777" w:rsidR="001D29BF" w:rsidRDefault="001D2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3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B" w14:textId="43FAFECF" w:rsidR="00BC0EBE" w:rsidRDefault="00BC0EBE">
    <w:pPr>
      <w:pStyle w:val="Footer"/>
      <w:jc w:val="center"/>
    </w:pPr>
    <w:r>
      <w:fldChar w:fldCharType="begin"/>
    </w:r>
    <w:r>
      <w:instrText xml:space="preserve"> PAGE   \* MERGEFORMAT </w:instrText>
    </w:r>
    <w:r>
      <w:fldChar w:fldCharType="separate"/>
    </w:r>
    <w:r w:rsidR="000C6E64">
      <w:rPr>
        <w:noProof/>
      </w:rPr>
      <w:t>7</w:t>
    </w:r>
    <w:r>
      <w:rPr>
        <w:noProof/>
      </w:rPr>
      <w:fldChar w:fldCharType="end"/>
    </w:r>
  </w:p>
  <w:p w14:paraId="7F3BF1AC" w14:textId="77777777" w:rsidR="00BC0EBE" w:rsidRDefault="00BC0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C789F" w14:textId="77777777" w:rsidR="001D29BF" w:rsidRDefault="001D29BF">
      <w:r>
        <w:separator/>
      </w:r>
    </w:p>
    <w:p w14:paraId="016C53C4" w14:textId="77777777" w:rsidR="001D29BF" w:rsidRDefault="001D29BF"/>
  </w:footnote>
  <w:footnote w:type="continuationSeparator" w:id="0">
    <w:p w14:paraId="3D1C1220" w14:textId="77777777" w:rsidR="001D29BF" w:rsidRDefault="001D29BF">
      <w:r>
        <w:continuationSeparator/>
      </w:r>
    </w:p>
    <w:p w14:paraId="78F0296E" w14:textId="77777777" w:rsidR="001D29BF" w:rsidRDefault="001D29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9" w14:textId="77777777" w:rsidR="00BC0EBE" w:rsidRDefault="00BC0EBE"/>
  <w:p w14:paraId="7F3BF1AA" w14:textId="77777777" w:rsidR="00BC0EBE" w:rsidRDefault="00BC0E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14.25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10"/>
  </w:num>
  <w:num w:numId="3">
    <w:abstractNumId w:val="6"/>
  </w:num>
  <w:num w:numId="4">
    <w:abstractNumId w:val="11"/>
  </w:num>
  <w:num w:numId="5">
    <w:abstractNumId w:val="18"/>
  </w:num>
  <w:num w:numId="6">
    <w:abstractNumId w:val="7"/>
  </w:num>
  <w:num w:numId="7">
    <w:abstractNumId w:val="13"/>
  </w:num>
  <w:num w:numId="8">
    <w:abstractNumId w:val="2"/>
  </w:num>
  <w:num w:numId="9">
    <w:abstractNumId w:val="15"/>
  </w:num>
  <w:num w:numId="10">
    <w:abstractNumId w:val="12"/>
  </w:num>
  <w:num w:numId="11">
    <w:abstractNumId w:val="5"/>
  </w:num>
  <w:num w:numId="12">
    <w:abstractNumId w:val="19"/>
  </w:num>
  <w:num w:numId="13">
    <w:abstractNumId w:val="14"/>
  </w:num>
  <w:num w:numId="14">
    <w:abstractNumId w:val="1"/>
  </w:num>
  <w:num w:numId="15">
    <w:abstractNumId w:val="0"/>
  </w:num>
  <w:num w:numId="16">
    <w:abstractNumId w:val="9"/>
  </w:num>
  <w:num w:numId="17">
    <w:abstractNumId w:val="4"/>
  </w:num>
  <w:num w:numId="18">
    <w:abstractNumId w:val="8"/>
  </w:num>
  <w:num w:numId="19">
    <w:abstractNumId w:val="3"/>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2BAF"/>
    <w:rsid w:val="00003D28"/>
    <w:rsid w:val="00004E1D"/>
    <w:rsid w:val="000051BA"/>
    <w:rsid w:val="000067B3"/>
    <w:rsid w:val="00006A07"/>
    <w:rsid w:val="00006B6D"/>
    <w:rsid w:val="00007268"/>
    <w:rsid w:val="00007CCB"/>
    <w:rsid w:val="00010E7A"/>
    <w:rsid w:val="00011393"/>
    <w:rsid w:val="000116AE"/>
    <w:rsid w:val="00011B8E"/>
    <w:rsid w:val="000124FC"/>
    <w:rsid w:val="00012946"/>
    <w:rsid w:val="000130E4"/>
    <w:rsid w:val="000135F1"/>
    <w:rsid w:val="00013B74"/>
    <w:rsid w:val="00014A45"/>
    <w:rsid w:val="00015914"/>
    <w:rsid w:val="000161F8"/>
    <w:rsid w:val="00016253"/>
    <w:rsid w:val="000170C0"/>
    <w:rsid w:val="00020409"/>
    <w:rsid w:val="0002179A"/>
    <w:rsid w:val="00021964"/>
    <w:rsid w:val="00022F95"/>
    <w:rsid w:val="00024BA4"/>
    <w:rsid w:val="00025348"/>
    <w:rsid w:val="00025578"/>
    <w:rsid w:val="00025F8D"/>
    <w:rsid w:val="00026B24"/>
    <w:rsid w:val="00026C9D"/>
    <w:rsid w:val="00026E42"/>
    <w:rsid w:val="00030971"/>
    <w:rsid w:val="00030BCA"/>
    <w:rsid w:val="00031FF3"/>
    <w:rsid w:val="00034E86"/>
    <w:rsid w:val="00035023"/>
    <w:rsid w:val="000371E4"/>
    <w:rsid w:val="00040179"/>
    <w:rsid w:val="00040DDB"/>
    <w:rsid w:val="00042221"/>
    <w:rsid w:val="0004325B"/>
    <w:rsid w:val="00043D8C"/>
    <w:rsid w:val="00043F13"/>
    <w:rsid w:val="0005092A"/>
    <w:rsid w:val="00052D89"/>
    <w:rsid w:val="00052F79"/>
    <w:rsid w:val="00052F93"/>
    <w:rsid w:val="00052FF1"/>
    <w:rsid w:val="0005421F"/>
    <w:rsid w:val="000550AB"/>
    <w:rsid w:val="000553DB"/>
    <w:rsid w:val="00055FA9"/>
    <w:rsid w:val="00056C34"/>
    <w:rsid w:val="00057080"/>
    <w:rsid w:val="0006044A"/>
    <w:rsid w:val="0006056C"/>
    <w:rsid w:val="0006060C"/>
    <w:rsid w:val="00061812"/>
    <w:rsid w:val="00062658"/>
    <w:rsid w:val="00062DA4"/>
    <w:rsid w:val="00065F71"/>
    <w:rsid w:val="000663E9"/>
    <w:rsid w:val="000678B9"/>
    <w:rsid w:val="000700CA"/>
    <w:rsid w:val="00070E67"/>
    <w:rsid w:val="000717AE"/>
    <w:rsid w:val="00071B99"/>
    <w:rsid w:val="0007296E"/>
    <w:rsid w:val="00072D45"/>
    <w:rsid w:val="00072E3B"/>
    <w:rsid w:val="00074E02"/>
    <w:rsid w:val="00075103"/>
    <w:rsid w:val="0007545A"/>
    <w:rsid w:val="00076219"/>
    <w:rsid w:val="000766B0"/>
    <w:rsid w:val="00077770"/>
    <w:rsid w:val="00077AD9"/>
    <w:rsid w:val="00077EA4"/>
    <w:rsid w:val="000804DD"/>
    <w:rsid w:val="0008252A"/>
    <w:rsid w:val="00082777"/>
    <w:rsid w:val="0008438E"/>
    <w:rsid w:val="00086AB3"/>
    <w:rsid w:val="00086BD9"/>
    <w:rsid w:val="00086C47"/>
    <w:rsid w:val="00086F1D"/>
    <w:rsid w:val="00087579"/>
    <w:rsid w:val="00090442"/>
    <w:rsid w:val="0009096D"/>
    <w:rsid w:val="000934BD"/>
    <w:rsid w:val="00093541"/>
    <w:rsid w:val="00093E18"/>
    <w:rsid w:val="00094040"/>
    <w:rsid w:val="000947DC"/>
    <w:rsid w:val="0009533B"/>
    <w:rsid w:val="00096A54"/>
    <w:rsid w:val="00096DF9"/>
    <w:rsid w:val="000A26B5"/>
    <w:rsid w:val="000A2A2F"/>
    <w:rsid w:val="000A2C85"/>
    <w:rsid w:val="000A4674"/>
    <w:rsid w:val="000A486F"/>
    <w:rsid w:val="000A6152"/>
    <w:rsid w:val="000A6983"/>
    <w:rsid w:val="000A6EBD"/>
    <w:rsid w:val="000A77FF"/>
    <w:rsid w:val="000B0B88"/>
    <w:rsid w:val="000B1231"/>
    <w:rsid w:val="000B1379"/>
    <w:rsid w:val="000B1C24"/>
    <w:rsid w:val="000B1CAD"/>
    <w:rsid w:val="000B1D6A"/>
    <w:rsid w:val="000B1D93"/>
    <w:rsid w:val="000B20E5"/>
    <w:rsid w:val="000B20EC"/>
    <w:rsid w:val="000B21CB"/>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64"/>
    <w:rsid w:val="000C6E78"/>
    <w:rsid w:val="000C7DBD"/>
    <w:rsid w:val="000D10B0"/>
    <w:rsid w:val="000D1447"/>
    <w:rsid w:val="000D1A60"/>
    <w:rsid w:val="000D2510"/>
    <w:rsid w:val="000D2514"/>
    <w:rsid w:val="000D3342"/>
    <w:rsid w:val="000D4031"/>
    <w:rsid w:val="000D4187"/>
    <w:rsid w:val="000D5816"/>
    <w:rsid w:val="000D6A8B"/>
    <w:rsid w:val="000D76E1"/>
    <w:rsid w:val="000E07E8"/>
    <w:rsid w:val="000E0B1A"/>
    <w:rsid w:val="000E1FFA"/>
    <w:rsid w:val="000E2AD6"/>
    <w:rsid w:val="000E2E86"/>
    <w:rsid w:val="000E422A"/>
    <w:rsid w:val="000E656C"/>
    <w:rsid w:val="000E66CC"/>
    <w:rsid w:val="000E6826"/>
    <w:rsid w:val="000F064E"/>
    <w:rsid w:val="000F0B82"/>
    <w:rsid w:val="000F2A6F"/>
    <w:rsid w:val="000F55DB"/>
    <w:rsid w:val="001005E1"/>
    <w:rsid w:val="00100857"/>
    <w:rsid w:val="00100D2A"/>
    <w:rsid w:val="00100DDC"/>
    <w:rsid w:val="00102FDB"/>
    <w:rsid w:val="001034E7"/>
    <w:rsid w:val="00103AE0"/>
    <w:rsid w:val="00104C10"/>
    <w:rsid w:val="001052B5"/>
    <w:rsid w:val="00105E17"/>
    <w:rsid w:val="00105EC9"/>
    <w:rsid w:val="00105FE4"/>
    <w:rsid w:val="0010677F"/>
    <w:rsid w:val="0010708A"/>
    <w:rsid w:val="00110882"/>
    <w:rsid w:val="0011153C"/>
    <w:rsid w:val="00111B42"/>
    <w:rsid w:val="00111C34"/>
    <w:rsid w:val="00113458"/>
    <w:rsid w:val="00114CCF"/>
    <w:rsid w:val="00116E33"/>
    <w:rsid w:val="00116EE8"/>
    <w:rsid w:val="00120217"/>
    <w:rsid w:val="0012106F"/>
    <w:rsid w:val="00121144"/>
    <w:rsid w:val="00122A39"/>
    <w:rsid w:val="001230E4"/>
    <w:rsid w:val="0012339B"/>
    <w:rsid w:val="00123C76"/>
    <w:rsid w:val="00124ED7"/>
    <w:rsid w:val="001253B8"/>
    <w:rsid w:val="00126C69"/>
    <w:rsid w:val="00126C8B"/>
    <w:rsid w:val="00127002"/>
    <w:rsid w:val="001275C0"/>
    <w:rsid w:val="0012788B"/>
    <w:rsid w:val="00133A28"/>
    <w:rsid w:val="001340A4"/>
    <w:rsid w:val="00134EC7"/>
    <w:rsid w:val="001354E3"/>
    <w:rsid w:val="00135581"/>
    <w:rsid w:val="0013603F"/>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504C"/>
    <w:rsid w:val="00155C76"/>
    <w:rsid w:val="00155D5A"/>
    <w:rsid w:val="001570F6"/>
    <w:rsid w:val="00157A7E"/>
    <w:rsid w:val="001614D9"/>
    <w:rsid w:val="00161B71"/>
    <w:rsid w:val="0016299D"/>
    <w:rsid w:val="00163F31"/>
    <w:rsid w:val="00164865"/>
    <w:rsid w:val="00165C54"/>
    <w:rsid w:val="00166A3B"/>
    <w:rsid w:val="00166D36"/>
    <w:rsid w:val="00167F33"/>
    <w:rsid w:val="001711F7"/>
    <w:rsid w:val="00171D38"/>
    <w:rsid w:val="001731A7"/>
    <w:rsid w:val="001742E1"/>
    <w:rsid w:val="00174ACE"/>
    <w:rsid w:val="0017741E"/>
    <w:rsid w:val="001805B3"/>
    <w:rsid w:val="00182378"/>
    <w:rsid w:val="00183776"/>
    <w:rsid w:val="00183D6D"/>
    <w:rsid w:val="00183F97"/>
    <w:rsid w:val="001851EC"/>
    <w:rsid w:val="00185461"/>
    <w:rsid w:val="00185774"/>
    <w:rsid w:val="00186C20"/>
    <w:rsid w:val="00186D31"/>
    <w:rsid w:val="00187C61"/>
    <w:rsid w:val="00190B14"/>
    <w:rsid w:val="00190E77"/>
    <w:rsid w:val="001915BF"/>
    <w:rsid w:val="0019261C"/>
    <w:rsid w:val="00196103"/>
    <w:rsid w:val="00196748"/>
    <w:rsid w:val="00197278"/>
    <w:rsid w:val="001A0109"/>
    <w:rsid w:val="001A25C1"/>
    <w:rsid w:val="001A28B1"/>
    <w:rsid w:val="001A6496"/>
    <w:rsid w:val="001A7A12"/>
    <w:rsid w:val="001A7DEB"/>
    <w:rsid w:val="001B08A8"/>
    <w:rsid w:val="001B0EFF"/>
    <w:rsid w:val="001B4086"/>
    <w:rsid w:val="001B518E"/>
    <w:rsid w:val="001B5D50"/>
    <w:rsid w:val="001B626C"/>
    <w:rsid w:val="001B74E3"/>
    <w:rsid w:val="001B7D92"/>
    <w:rsid w:val="001C0FAE"/>
    <w:rsid w:val="001C1294"/>
    <w:rsid w:val="001C200C"/>
    <w:rsid w:val="001C22A2"/>
    <w:rsid w:val="001C2B99"/>
    <w:rsid w:val="001C34C0"/>
    <w:rsid w:val="001C4590"/>
    <w:rsid w:val="001C469F"/>
    <w:rsid w:val="001C4AB8"/>
    <w:rsid w:val="001C66C5"/>
    <w:rsid w:val="001C7C16"/>
    <w:rsid w:val="001D26FC"/>
    <w:rsid w:val="001D29BF"/>
    <w:rsid w:val="001D3990"/>
    <w:rsid w:val="001D5FE1"/>
    <w:rsid w:val="001D6945"/>
    <w:rsid w:val="001D6F33"/>
    <w:rsid w:val="001D78EC"/>
    <w:rsid w:val="001E2DD7"/>
    <w:rsid w:val="001E30AD"/>
    <w:rsid w:val="001E349F"/>
    <w:rsid w:val="001E3F60"/>
    <w:rsid w:val="001E427F"/>
    <w:rsid w:val="001E50C6"/>
    <w:rsid w:val="001E55EE"/>
    <w:rsid w:val="001E6A39"/>
    <w:rsid w:val="001E7E2D"/>
    <w:rsid w:val="001F0A02"/>
    <w:rsid w:val="001F0B93"/>
    <w:rsid w:val="001F10E4"/>
    <w:rsid w:val="001F2903"/>
    <w:rsid w:val="001F31ED"/>
    <w:rsid w:val="001F4116"/>
    <w:rsid w:val="001F4B2C"/>
    <w:rsid w:val="001F4D5F"/>
    <w:rsid w:val="001F5401"/>
    <w:rsid w:val="001F5B72"/>
    <w:rsid w:val="001F662A"/>
    <w:rsid w:val="001F6C1F"/>
    <w:rsid w:val="0020094A"/>
    <w:rsid w:val="0020259C"/>
    <w:rsid w:val="002027DB"/>
    <w:rsid w:val="00204F4B"/>
    <w:rsid w:val="00205789"/>
    <w:rsid w:val="00205A99"/>
    <w:rsid w:val="00205EED"/>
    <w:rsid w:val="002066F3"/>
    <w:rsid w:val="00206754"/>
    <w:rsid w:val="00207C41"/>
    <w:rsid w:val="00207E3C"/>
    <w:rsid w:val="002100CB"/>
    <w:rsid w:val="002105C5"/>
    <w:rsid w:val="0021216A"/>
    <w:rsid w:val="002128F8"/>
    <w:rsid w:val="00212FEC"/>
    <w:rsid w:val="00213746"/>
    <w:rsid w:val="002139DC"/>
    <w:rsid w:val="00213F00"/>
    <w:rsid w:val="00214937"/>
    <w:rsid w:val="00214B7E"/>
    <w:rsid w:val="00215635"/>
    <w:rsid w:val="002162FA"/>
    <w:rsid w:val="00217169"/>
    <w:rsid w:val="00217AF4"/>
    <w:rsid w:val="00220003"/>
    <w:rsid w:val="00220B84"/>
    <w:rsid w:val="00221F89"/>
    <w:rsid w:val="002220F3"/>
    <w:rsid w:val="00222D71"/>
    <w:rsid w:val="00224C9E"/>
    <w:rsid w:val="00224F9E"/>
    <w:rsid w:val="00225335"/>
    <w:rsid w:val="002259D7"/>
    <w:rsid w:val="00226DA2"/>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606"/>
    <w:rsid w:val="00243D42"/>
    <w:rsid w:val="002469D7"/>
    <w:rsid w:val="0024731A"/>
    <w:rsid w:val="00247AB3"/>
    <w:rsid w:val="002506B4"/>
    <w:rsid w:val="00250B57"/>
    <w:rsid w:val="00252057"/>
    <w:rsid w:val="00253B94"/>
    <w:rsid w:val="00253DD0"/>
    <w:rsid w:val="00253F40"/>
    <w:rsid w:val="002546A0"/>
    <w:rsid w:val="00256F0A"/>
    <w:rsid w:val="002573AF"/>
    <w:rsid w:val="00260B6C"/>
    <w:rsid w:val="00261C69"/>
    <w:rsid w:val="00262D66"/>
    <w:rsid w:val="00263A27"/>
    <w:rsid w:val="00263A6A"/>
    <w:rsid w:val="0026600C"/>
    <w:rsid w:val="002668E6"/>
    <w:rsid w:val="00267119"/>
    <w:rsid w:val="0027067F"/>
    <w:rsid w:val="00270AFA"/>
    <w:rsid w:val="002731C0"/>
    <w:rsid w:val="0027451A"/>
    <w:rsid w:val="0027454B"/>
    <w:rsid w:val="00274907"/>
    <w:rsid w:val="002769BC"/>
    <w:rsid w:val="00276EF3"/>
    <w:rsid w:val="0028051B"/>
    <w:rsid w:val="0028231E"/>
    <w:rsid w:val="00282D86"/>
    <w:rsid w:val="00283D54"/>
    <w:rsid w:val="00284E98"/>
    <w:rsid w:val="00285FF1"/>
    <w:rsid w:val="0028639F"/>
    <w:rsid w:val="00286490"/>
    <w:rsid w:val="00286772"/>
    <w:rsid w:val="0029100A"/>
    <w:rsid w:val="00292297"/>
    <w:rsid w:val="00292A1B"/>
    <w:rsid w:val="0029419F"/>
    <w:rsid w:val="00294BFA"/>
    <w:rsid w:val="0029532A"/>
    <w:rsid w:val="002956A4"/>
    <w:rsid w:val="00295DF3"/>
    <w:rsid w:val="00295FE1"/>
    <w:rsid w:val="0029671B"/>
    <w:rsid w:val="00297688"/>
    <w:rsid w:val="002A063C"/>
    <w:rsid w:val="002A0E60"/>
    <w:rsid w:val="002A2B1E"/>
    <w:rsid w:val="002A2FD0"/>
    <w:rsid w:val="002A3ECE"/>
    <w:rsid w:val="002A54B7"/>
    <w:rsid w:val="002A60B4"/>
    <w:rsid w:val="002A7283"/>
    <w:rsid w:val="002A7D02"/>
    <w:rsid w:val="002A7FA0"/>
    <w:rsid w:val="002B0A76"/>
    <w:rsid w:val="002B1266"/>
    <w:rsid w:val="002B2E26"/>
    <w:rsid w:val="002B44F0"/>
    <w:rsid w:val="002B47EF"/>
    <w:rsid w:val="002B5AFE"/>
    <w:rsid w:val="002B5B34"/>
    <w:rsid w:val="002B7527"/>
    <w:rsid w:val="002C109C"/>
    <w:rsid w:val="002C570F"/>
    <w:rsid w:val="002D09C0"/>
    <w:rsid w:val="002D26C5"/>
    <w:rsid w:val="002D2F84"/>
    <w:rsid w:val="002D4766"/>
    <w:rsid w:val="002D4EFD"/>
    <w:rsid w:val="002D5522"/>
    <w:rsid w:val="002D5B8B"/>
    <w:rsid w:val="002D5DA0"/>
    <w:rsid w:val="002D6276"/>
    <w:rsid w:val="002D7F43"/>
    <w:rsid w:val="002D7FF8"/>
    <w:rsid w:val="002E02A9"/>
    <w:rsid w:val="002E1915"/>
    <w:rsid w:val="002E1DC3"/>
    <w:rsid w:val="002E2BEF"/>
    <w:rsid w:val="002E2E00"/>
    <w:rsid w:val="002E36B1"/>
    <w:rsid w:val="002E58DA"/>
    <w:rsid w:val="002E6BEC"/>
    <w:rsid w:val="002E75D8"/>
    <w:rsid w:val="002E76FF"/>
    <w:rsid w:val="002E78D3"/>
    <w:rsid w:val="002F08B7"/>
    <w:rsid w:val="002F0AD8"/>
    <w:rsid w:val="002F0F92"/>
    <w:rsid w:val="002F2F19"/>
    <w:rsid w:val="002F36C7"/>
    <w:rsid w:val="002F4048"/>
    <w:rsid w:val="002F4C3A"/>
    <w:rsid w:val="002F5163"/>
    <w:rsid w:val="002F61C3"/>
    <w:rsid w:val="002F6EEB"/>
    <w:rsid w:val="00301599"/>
    <w:rsid w:val="0030249D"/>
    <w:rsid w:val="003025FF"/>
    <w:rsid w:val="0030267F"/>
    <w:rsid w:val="00302FD9"/>
    <w:rsid w:val="00303102"/>
    <w:rsid w:val="003045C6"/>
    <w:rsid w:val="00305351"/>
    <w:rsid w:val="0030633C"/>
    <w:rsid w:val="003068A6"/>
    <w:rsid w:val="00310678"/>
    <w:rsid w:val="00310A77"/>
    <w:rsid w:val="00311A98"/>
    <w:rsid w:val="003128DB"/>
    <w:rsid w:val="00312DD9"/>
    <w:rsid w:val="00312E60"/>
    <w:rsid w:val="00312F4D"/>
    <w:rsid w:val="0031317A"/>
    <w:rsid w:val="00313774"/>
    <w:rsid w:val="00314236"/>
    <w:rsid w:val="00314C9A"/>
    <w:rsid w:val="00314E02"/>
    <w:rsid w:val="0031506C"/>
    <w:rsid w:val="0031526A"/>
    <w:rsid w:val="003161DF"/>
    <w:rsid w:val="0031730F"/>
    <w:rsid w:val="0032050C"/>
    <w:rsid w:val="00321ADB"/>
    <w:rsid w:val="00321CA2"/>
    <w:rsid w:val="0032208A"/>
    <w:rsid w:val="0032286B"/>
    <w:rsid w:val="00323EE5"/>
    <w:rsid w:val="003249F5"/>
    <w:rsid w:val="00324EBC"/>
    <w:rsid w:val="00324F7D"/>
    <w:rsid w:val="003254B9"/>
    <w:rsid w:val="003254DE"/>
    <w:rsid w:val="003266F9"/>
    <w:rsid w:val="00327284"/>
    <w:rsid w:val="00330028"/>
    <w:rsid w:val="00331155"/>
    <w:rsid w:val="003312FF"/>
    <w:rsid w:val="00332ADE"/>
    <w:rsid w:val="00333380"/>
    <w:rsid w:val="003334BE"/>
    <w:rsid w:val="003335BD"/>
    <w:rsid w:val="003338E4"/>
    <w:rsid w:val="00334EB2"/>
    <w:rsid w:val="00335666"/>
    <w:rsid w:val="00335D38"/>
    <w:rsid w:val="00335F98"/>
    <w:rsid w:val="0033671C"/>
    <w:rsid w:val="003376A2"/>
    <w:rsid w:val="003378C4"/>
    <w:rsid w:val="00340085"/>
    <w:rsid w:val="00340127"/>
    <w:rsid w:val="003406F9"/>
    <w:rsid w:val="00341E15"/>
    <w:rsid w:val="003426BB"/>
    <w:rsid w:val="00342B74"/>
    <w:rsid w:val="00342D8E"/>
    <w:rsid w:val="00343B38"/>
    <w:rsid w:val="00346591"/>
    <w:rsid w:val="003474FB"/>
    <w:rsid w:val="003504B7"/>
    <w:rsid w:val="00351E31"/>
    <w:rsid w:val="00352662"/>
    <w:rsid w:val="00352ED7"/>
    <w:rsid w:val="00354A4B"/>
    <w:rsid w:val="00355D1B"/>
    <w:rsid w:val="00355D61"/>
    <w:rsid w:val="003560B9"/>
    <w:rsid w:val="00356130"/>
    <w:rsid w:val="00356286"/>
    <w:rsid w:val="00360022"/>
    <w:rsid w:val="00361455"/>
    <w:rsid w:val="00362353"/>
    <w:rsid w:val="00362DC6"/>
    <w:rsid w:val="003630CD"/>
    <w:rsid w:val="003632F6"/>
    <w:rsid w:val="00363B44"/>
    <w:rsid w:val="00364368"/>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D6B"/>
    <w:rsid w:val="00377462"/>
    <w:rsid w:val="00377A17"/>
    <w:rsid w:val="00381D16"/>
    <w:rsid w:val="00382263"/>
    <w:rsid w:val="003826B9"/>
    <w:rsid w:val="00382923"/>
    <w:rsid w:val="003836E1"/>
    <w:rsid w:val="003836ED"/>
    <w:rsid w:val="00383834"/>
    <w:rsid w:val="00383B11"/>
    <w:rsid w:val="00383E0C"/>
    <w:rsid w:val="00385805"/>
    <w:rsid w:val="00386876"/>
    <w:rsid w:val="00386F7E"/>
    <w:rsid w:val="00387FC6"/>
    <w:rsid w:val="00390BEC"/>
    <w:rsid w:val="0039148E"/>
    <w:rsid w:val="00391707"/>
    <w:rsid w:val="00391757"/>
    <w:rsid w:val="00391E0F"/>
    <w:rsid w:val="00391F35"/>
    <w:rsid w:val="00392057"/>
    <w:rsid w:val="00396459"/>
    <w:rsid w:val="00396946"/>
    <w:rsid w:val="00397E28"/>
    <w:rsid w:val="00397FBF"/>
    <w:rsid w:val="003A0ED2"/>
    <w:rsid w:val="003A13BC"/>
    <w:rsid w:val="003A184E"/>
    <w:rsid w:val="003A21A4"/>
    <w:rsid w:val="003A2580"/>
    <w:rsid w:val="003A2FD4"/>
    <w:rsid w:val="003A4C6E"/>
    <w:rsid w:val="003A5B9A"/>
    <w:rsid w:val="003A6DB0"/>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C8F"/>
    <w:rsid w:val="003B4DF7"/>
    <w:rsid w:val="003B562F"/>
    <w:rsid w:val="003B5EE1"/>
    <w:rsid w:val="003B615A"/>
    <w:rsid w:val="003B7A52"/>
    <w:rsid w:val="003C0193"/>
    <w:rsid w:val="003C0F3E"/>
    <w:rsid w:val="003C1396"/>
    <w:rsid w:val="003C3534"/>
    <w:rsid w:val="003C38CD"/>
    <w:rsid w:val="003C3ED0"/>
    <w:rsid w:val="003C4D7A"/>
    <w:rsid w:val="003C6439"/>
    <w:rsid w:val="003C74DC"/>
    <w:rsid w:val="003C7BD4"/>
    <w:rsid w:val="003D0EB1"/>
    <w:rsid w:val="003D208F"/>
    <w:rsid w:val="003D2098"/>
    <w:rsid w:val="003D276A"/>
    <w:rsid w:val="003D2B86"/>
    <w:rsid w:val="003D34A0"/>
    <w:rsid w:val="003D4272"/>
    <w:rsid w:val="003D4809"/>
    <w:rsid w:val="003E0CEF"/>
    <w:rsid w:val="003E101C"/>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7AA"/>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E1F"/>
    <w:rsid w:val="00416DF1"/>
    <w:rsid w:val="004174FD"/>
    <w:rsid w:val="00417A28"/>
    <w:rsid w:val="00417F50"/>
    <w:rsid w:val="004214C2"/>
    <w:rsid w:val="0042288C"/>
    <w:rsid w:val="00423B39"/>
    <w:rsid w:val="00424403"/>
    <w:rsid w:val="00424740"/>
    <w:rsid w:val="00425B6F"/>
    <w:rsid w:val="00427239"/>
    <w:rsid w:val="00431129"/>
    <w:rsid w:val="00431FC9"/>
    <w:rsid w:val="00433F26"/>
    <w:rsid w:val="004342AD"/>
    <w:rsid w:val="004353E1"/>
    <w:rsid w:val="00435846"/>
    <w:rsid w:val="00436A29"/>
    <w:rsid w:val="00437120"/>
    <w:rsid w:val="00437756"/>
    <w:rsid w:val="0044040E"/>
    <w:rsid w:val="0044229A"/>
    <w:rsid w:val="0044361A"/>
    <w:rsid w:val="004438C8"/>
    <w:rsid w:val="0044515B"/>
    <w:rsid w:val="00445819"/>
    <w:rsid w:val="004459DD"/>
    <w:rsid w:val="0045289E"/>
    <w:rsid w:val="00452AC2"/>
    <w:rsid w:val="00452EE7"/>
    <w:rsid w:val="00453C80"/>
    <w:rsid w:val="00454B0B"/>
    <w:rsid w:val="00454B5A"/>
    <w:rsid w:val="00455221"/>
    <w:rsid w:val="00455DCF"/>
    <w:rsid w:val="004575E8"/>
    <w:rsid w:val="004601F0"/>
    <w:rsid w:val="00460562"/>
    <w:rsid w:val="004609C9"/>
    <w:rsid w:val="004616E0"/>
    <w:rsid w:val="00461B18"/>
    <w:rsid w:val="00461E51"/>
    <w:rsid w:val="00461F31"/>
    <w:rsid w:val="0046224B"/>
    <w:rsid w:val="00462E21"/>
    <w:rsid w:val="00465523"/>
    <w:rsid w:val="0046556F"/>
    <w:rsid w:val="00466136"/>
    <w:rsid w:val="00466176"/>
    <w:rsid w:val="004669CC"/>
    <w:rsid w:val="00466E7A"/>
    <w:rsid w:val="004672DB"/>
    <w:rsid w:val="00467638"/>
    <w:rsid w:val="0046780F"/>
    <w:rsid w:val="004720BD"/>
    <w:rsid w:val="00472589"/>
    <w:rsid w:val="00473F6F"/>
    <w:rsid w:val="00474704"/>
    <w:rsid w:val="00475793"/>
    <w:rsid w:val="00476136"/>
    <w:rsid w:val="0048014B"/>
    <w:rsid w:val="00482B4C"/>
    <w:rsid w:val="00483316"/>
    <w:rsid w:val="00483B31"/>
    <w:rsid w:val="00483EC5"/>
    <w:rsid w:val="00484101"/>
    <w:rsid w:val="00484C73"/>
    <w:rsid w:val="00485FBD"/>
    <w:rsid w:val="00486F5A"/>
    <w:rsid w:val="00490214"/>
    <w:rsid w:val="00491D49"/>
    <w:rsid w:val="004953D2"/>
    <w:rsid w:val="004954BE"/>
    <w:rsid w:val="00496188"/>
    <w:rsid w:val="00496509"/>
    <w:rsid w:val="004A103F"/>
    <w:rsid w:val="004A10E3"/>
    <w:rsid w:val="004A1852"/>
    <w:rsid w:val="004A19D3"/>
    <w:rsid w:val="004A3456"/>
    <w:rsid w:val="004A3757"/>
    <w:rsid w:val="004A3F6E"/>
    <w:rsid w:val="004A4BDE"/>
    <w:rsid w:val="004A5ED4"/>
    <w:rsid w:val="004A5F86"/>
    <w:rsid w:val="004A6309"/>
    <w:rsid w:val="004A6A9A"/>
    <w:rsid w:val="004A6DE2"/>
    <w:rsid w:val="004A75B8"/>
    <w:rsid w:val="004A79D0"/>
    <w:rsid w:val="004A7C3C"/>
    <w:rsid w:val="004A7DF5"/>
    <w:rsid w:val="004B165F"/>
    <w:rsid w:val="004B17A7"/>
    <w:rsid w:val="004B1EA6"/>
    <w:rsid w:val="004B29EB"/>
    <w:rsid w:val="004B3D91"/>
    <w:rsid w:val="004B411E"/>
    <w:rsid w:val="004B4492"/>
    <w:rsid w:val="004B5213"/>
    <w:rsid w:val="004B5557"/>
    <w:rsid w:val="004B685B"/>
    <w:rsid w:val="004B717E"/>
    <w:rsid w:val="004B7B24"/>
    <w:rsid w:val="004C0998"/>
    <w:rsid w:val="004C0EE4"/>
    <w:rsid w:val="004C1069"/>
    <w:rsid w:val="004C1D05"/>
    <w:rsid w:val="004C1D2B"/>
    <w:rsid w:val="004C204B"/>
    <w:rsid w:val="004C2151"/>
    <w:rsid w:val="004C2577"/>
    <w:rsid w:val="004C2ED6"/>
    <w:rsid w:val="004C402C"/>
    <w:rsid w:val="004C4134"/>
    <w:rsid w:val="004C4FF8"/>
    <w:rsid w:val="004C670A"/>
    <w:rsid w:val="004C720D"/>
    <w:rsid w:val="004C7B44"/>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2510"/>
    <w:rsid w:val="004F251E"/>
    <w:rsid w:val="004F25B7"/>
    <w:rsid w:val="004F30F5"/>
    <w:rsid w:val="004F49F1"/>
    <w:rsid w:val="004F59DC"/>
    <w:rsid w:val="004F70C3"/>
    <w:rsid w:val="00502AC6"/>
    <w:rsid w:val="00502B52"/>
    <w:rsid w:val="0050463E"/>
    <w:rsid w:val="005050CC"/>
    <w:rsid w:val="005079F5"/>
    <w:rsid w:val="00511256"/>
    <w:rsid w:val="005112F9"/>
    <w:rsid w:val="005128BB"/>
    <w:rsid w:val="00513828"/>
    <w:rsid w:val="005144D0"/>
    <w:rsid w:val="00515D15"/>
    <w:rsid w:val="0051600B"/>
    <w:rsid w:val="005161B4"/>
    <w:rsid w:val="005170C9"/>
    <w:rsid w:val="005171AC"/>
    <w:rsid w:val="00517461"/>
    <w:rsid w:val="00521763"/>
    <w:rsid w:val="0052414C"/>
    <w:rsid w:val="00524AC8"/>
    <w:rsid w:val="005279A5"/>
    <w:rsid w:val="00527A3F"/>
    <w:rsid w:val="00532ED9"/>
    <w:rsid w:val="00533D42"/>
    <w:rsid w:val="00533DD4"/>
    <w:rsid w:val="0053493A"/>
    <w:rsid w:val="00534A0C"/>
    <w:rsid w:val="00534A4C"/>
    <w:rsid w:val="00535FF6"/>
    <w:rsid w:val="00536DD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53BD"/>
    <w:rsid w:val="005554E7"/>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E54"/>
    <w:rsid w:val="005662FE"/>
    <w:rsid w:val="00566DCC"/>
    <w:rsid w:val="0056733E"/>
    <w:rsid w:val="005719AD"/>
    <w:rsid w:val="00572516"/>
    <w:rsid w:val="00572A89"/>
    <w:rsid w:val="00572E4A"/>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1E5"/>
    <w:rsid w:val="00590B92"/>
    <w:rsid w:val="00590EDE"/>
    <w:rsid w:val="00591101"/>
    <w:rsid w:val="00591111"/>
    <w:rsid w:val="0059146D"/>
    <w:rsid w:val="00591642"/>
    <w:rsid w:val="00592ECB"/>
    <w:rsid w:val="0059508D"/>
    <w:rsid w:val="005962C2"/>
    <w:rsid w:val="00597E0D"/>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219"/>
    <w:rsid w:val="005B580E"/>
    <w:rsid w:val="005B6469"/>
    <w:rsid w:val="005B6A07"/>
    <w:rsid w:val="005C0042"/>
    <w:rsid w:val="005C0823"/>
    <w:rsid w:val="005C1778"/>
    <w:rsid w:val="005C335F"/>
    <w:rsid w:val="005C36BD"/>
    <w:rsid w:val="005C37C5"/>
    <w:rsid w:val="005C4CBC"/>
    <w:rsid w:val="005C51AD"/>
    <w:rsid w:val="005C52C9"/>
    <w:rsid w:val="005C5455"/>
    <w:rsid w:val="005C6078"/>
    <w:rsid w:val="005C6309"/>
    <w:rsid w:val="005C6D9D"/>
    <w:rsid w:val="005D0096"/>
    <w:rsid w:val="005D01F7"/>
    <w:rsid w:val="005D0D25"/>
    <w:rsid w:val="005D0E0A"/>
    <w:rsid w:val="005D0FBD"/>
    <w:rsid w:val="005D1760"/>
    <w:rsid w:val="005D1ACB"/>
    <w:rsid w:val="005D2076"/>
    <w:rsid w:val="005D2161"/>
    <w:rsid w:val="005D2935"/>
    <w:rsid w:val="005D4AB3"/>
    <w:rsid w:val="005D4FD8"/>
    <w:rsid w:val="005D6378"/>
    <w:rsid w:val="005D7286"/>
    <w:rsid w:val="005E0DC2"/>
    <w:rsid w:val="005E218E"/>
    <w:rsid w:val="005E342E"/>
    <w:rsid w:val="005E4D14"/>
    <w:rsid w:val="005E6014"/>
    <w:rsid w:val="005E648C"/>
    <w:rsid w:val="005E76DA"/>
    <w:rsid w:val="005F0695"/>
    <w:rsid w:val="005F1196"/>
    <w:rsid w:val="005F1AA0"/>
    <w:rsid w:val="005F24D5"/>
    <w:rsid w:val="005F393D"/>
    <w:rsid w:val="005F4236"/>
    <w:rsid w:val="005F4648"/>
    <w:rsid w:val="005F4F77"/>
    <w:rsid w:val="005F7BEE"/>
    <w:rsid w:val="0060159E"/>
    <w:rsid w:val="0060169E"/>
    <w:rsid w:val="00601AC8"/>
    <w:rsid w:val="00601D8A"/>
    <w:rsid w:val="0060269E"/>
    <w:rsid w:val="00603516"/>
    <w:rsid w:val="00603BEF"/>
    <w:rsid w:val="00604882"/>
    <w:rsid w:val="00604946"/>
    <w:rsid w:val="00604BE2"/>
    <w:rsid w:val="00604F80"/>
    <w:rsid w:val="00607188"/>
    <w:rsid w:val="00607219"/>
    <w:rsid w:val="006073F8"/>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660"/>
    <w:rsid w:val="0063207D"/>
    <w:rsid w:val="006329B3"/>
    <w:rsid w:val="006335DE"/>
    <w:rsid w:val="006349C8"/>
    <w:rsid w:val="006351DA"/>
    <w:rsid w:val="00636080"/>
    <w:rsid w:val="00637B64"/>
    <w:rsid w:val="00637C04"/>
    <w:rsid w:val="00637D74"/>
    <w:rsid w:val="00637E00"/>
    <w:rsid w:val="00641D53"/>
    <w:rsid w:val="00641E7D"/>
    <w:rsid w:val="00642C1B"/>
    <w:rsid w:val="00643296"/>
    <w:rsid w:val="006461BA"/>
    <w:rsid w:val="00646259"/>
    <w:rsid w:val="006467F9"/>
    <w:rsid w:val="006468BF"/>
    <w:rsid w:val="006470CC"/>
    <w:rsid w:val="006473CE"/>
    <w:rsid w:val="00651CB1"/>
    <w:rsid w:val="006525D7"/>
    <w:rsid w:val="0065268B"/>
    <w:rsid w:val="00652FD1"/>
    <w:rsid w:val="00653615"/>
    <w:rsid w:val="00653B18"/>
    <w:rsid w:val="00655054"/>
    <w:rsid w:val="00657224"/>
    <w:rsid w:val="00657822"/>
    <w:rsid w:val="00657BE2"/>
    <w:rsid w:val="0066049B"/>
    <w:rsid w:val="00661E59"/>
    <w:rsid w:val="006621F3"/>
    <w:rsid w:val="0066261B"/>
    <w:rsid w:val="0066398B"/>
    <w:rsid w:val="00663FF1"/>
    <w:rsid w:val="00664D8C"/>
    <w:rsid w:val="00665A92"/>
    <w:rsid w:val="00666C99"/>
    <w:rsid w:val="00667086"/>
    <w:rsid w:val="006676D0"/>
    <w:rsid w:val="00667DA7"/>
    <w:rsid w:val="00667DCF"/>
    <w:rsid w:val="00670649"/>
    <w:rsid w:val="0067152D"/>
    <w:rsid w:val="00671D5B"/>
    <w:rsid w:val="00671F27"/>
    <w:rsid w:val="0067227E"/>
    <w:rsid w:val="00672BC2"/>
    <w:rsid w:val="00672C31"/>
    <w:rsid w:val="00673367"/>
    <w:rsid w:val="006745C6"/>
    <w:rsid w:val="00675171"/>
    <w:rsid w:val="00682D6A"/>
    <w:rsid w:val="00683021"/>
    <w:rsid w:val="00683106"/>
    <w:rsid w:val="006846E4"/>
    <w:rsid w:val="006857F5"/>
    <w:rsid w:val="006860F9"/>
    <w:rsid w:val="006878EE"/>
    <w:rsid w:val="00691A55"/>
    <w:rsid w:val="00692E45"/>
    <w:rsid w:val="00692F01"/>
    <w:rsid w:val="00692F45"/>
    <w:rsid w:val="00693322"/>
    <w:rsid w:val="00695480"/>
    <w:rsid w:val="006954D8"/>
    <w:rsid w:val="00696286"/>
    <w:rsid w:val="006A10D7"/>
    <w:rsid w:val="006A4977"/>
    <w:rsid w:val="006A4D83"/>
    <w:rsid w:val="006A50E6"/>
    <w:rsid w:val="006A55B6"/>
    <w:rsid w:val="006A7BE8"/>
    <w:rsid w:val="006A7C05"/>
    <w:rsid w:val="006A7F83"/>
    <w:rsid w:val="006B0003"/>
    <w:rsid w:val="006B0D51"/>
    <w:rsid w:val="006B1423"/>
    <w:rsid w:val="006B18BB"/>
    <w:rsid w:val="006B1D17"/>
    <w:rsid w:val="006B4641"/>
    <w:rsid w:val="006B4D9D"/>
    <w:rsid w:val="006B695F"/>
    <w:rsid w:val="006B7B8B"/>
    <w:rsid w:val="006C0889"/>
    <w:rsid w:val="006C0C5C"/>
    <w:rsid w:val="006C0DAB"/>
    <w:rsid w:val="006C1633"/>
    <w:rsid w:val="006C1AC2"/>
    <w:rsid w:val="006C1EFD"/>
    <w:rsid w:val="006C22BF"/>
    <w:rsid w:val="006C2EC9"/>
    <w:rsid w:val="006C3564"/>
    <w:rsid w:val="006C383A"/>
    <w:rsid w:val="006C454B"/>
    <w:rsid w:val="006C49B5"/>
    <w:rsid w:val="006C5124"/>
    <w:rsid w:val="006C52C9"/>
    <w:rsid w:val="006C7231"/>
    <w:rsid w:val="006D00AF"/>
    <w:rsid w:val="006D123B"/>
    <w:rsid w:val="006D171C"/>
    <w:rsid w:val="006D19CF"/>
    <w:rsid w:val="006D3057"/>
    <w:rsid w:val="006D39ED"/>
    <w:rsid w:val="006D4DB1"/>
    <w:rsid w:val="006D6127"/>
    <w:rsid w:val="006D661D"/>
    <w:rsid w:val="006D67E7"/>
    <w:rsid w:val="006D7B40"/>
    <w:rsid w:val="006E00E0"/>
    <w:rsid w:val="006E12FA"/>
    <w:rsid w:val="006E18A1"/>
    <w:rsid w:val="006E1976"/>
    <w:rsid w:val="006E3E31"/>
    <w:rsid w:val="006E5655"/>
    <w:rsid w:val="006E5BDB"/>
    <w:rsid w:val="006E779F"/>
    <w:rsid w:val="006F007A"/>
    <w:rsid w:val="006F04DA"/>
    <w:rsid w:val="006F1847"/>
    <w:rsid w:val="006F1FB4"/>
    <w:rsid w:val="006F269B"/>
    <w:rsid w:val="006F294F"/>
    <w:rsid w:val="006F3372"/>
    <w:rsid w:val="006F35D3"/>
    <w:rsid w:val="006F59A4"/>
    <w:rsid w:val="006F5A93"/>
    <w:rsid w:val="007000C4"/>
    <w:rsid w:val="00700EE8"/>
    <w:rsid w:val="00701108"/>
    <w:rsid w:val="00702A97"/>
    <w:rsid w:val="00702DE1"/>
    <w:rsid w:val="00704282"/>
    <w:rsid w:val="007046A7"/>
    <w:rsid w:val="0070494E"/>
    <w:rsid w:val="00705C15"/>
    <w:rsid w:val="0070697E"/>
    <w:rsid w:val="00712D30"/>
    <w:rsid w:val="007142CF"/>
    <w:rsid w:val="007147B9"/>
    <w:rsid w:val="00714D35"/>
    <w:rsid w:val="00715853"/>
    <w:rsid w:val="007160EF"/>
    <w:rsid w:val="0071689E"/>
    <w:rsid w:val="007171FA"/>
    <w:rsid w:val="00721145"/>
    <w:rsid w:val="0072220A"/>
    <w:rsid w:val="00724287"/>
    <w:rsid w:val="0072487F"/>
    <w:rsid w:val="0072507C"/>
    <w:rsid w:val="0072530F"/>
    <w:rsid w:val="0072586E"/>
    <w:rsid w:val="00726339"/>
    <w:rsid w:val="0072657A"/>
    <w:rsid w:val="00727684"/>
    <w:rsid w:val="00727969"/>
    <w:rsid w:val="00727ED4"/>
    <w:rsid w:val="00730649"/>
    <w:rsid w:val="00731A7E"/>
    <w:rsid w:val="00732742"/>
    <w:rsid w:val="00733627"/>
    <w:rsid w:val="007341F0"/>
    <w:rsid w:val="0073518D"/>
    <w:rsid w:val="0073585B"/>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415A"/>
    <w:rsid w:val="0074603C"/>
    <w:rsid w:val="0074663A"/>
    <w:rsid w:val="00747392"/>
    <w:rsid w:val="00747967"/>
    <w:rsid w:val="00750A9D"/>
    <w:rsid w:val="00751063"/>
    <w:rsid w:val="007514EE"/>
    <w:rsid w:val="00752250"/>
    <w:rsid w:val="00752CA6"/>
    <w:rsid w:val="00753448"/>
    <w:rsid w:val="00754C03"/>
    <w:rsid w:val="0075590B"/>
    <w:rsid w:val="007563AB"/>
    <w:rsid w:val="00757450"/>
    <w:rsid w:val="00757BAD"/>
    <w:rsid w:val="0076165C"/>
    <w:rsid w:val="00761F55"/>
    <w:rsid w:val="00762362"/>
    <w:rsid w:val="00762FC9"/>
    <w:rsid w:val="00764B5D"/>
    <w:rsid w:val="00764D00"/>
    <w:rsid w:val="007656E6"/>
    <w:rsid w:val="00765800"/>
    <w:rsid w:val="00765B1A"/>
    <w:rsid w:val="00766342"/>
    <w:rsid w:val="00766747"/>
    <w:rsid w:val="007667D1"/>
    <w:rsid w:val="00767083"/>
    <w:rsid w:val="00767F7A"/>
    <w:rsid w:val="0077081E"/>
    <w:rsid w:val="00772AC0"/>
    <w:rsid w:val="00773D74"/>
    <w:rsid w:val="00774DCB"/>
    <w:rsid w:val="00776BE9"/>
    <w:rsid w:val="007807ED"/>
    <w:rsid w:val="00781332"/>
    <w:rsid w:val="007822E2"/>
    <w:rsid w:val="00785816"/>
    <w:rsid w:val="00786180"/>
    <w:rsid w:val="007867CA"/>
    <w:rsid w:val="0078693D"/>
    <w:rsid w:val="007870B2"/>
    <w:rsid w:val="0078777B"/>
    <w:rsid w:val="00791484"/>
    <w:rsid w:val="0079165E"/>
    <w:rsid w:val="00791ADC"/>
    <w:rsid w:val="00791AFF"/>
    <w:rsid w:val="0079212E"/>
    <w:rsid w:val="00794B0E"/>
    <w:rsid w:val="00794C3B"/>
    <w:rsid w:val="00796FBF"/>
    <w:rsid w:val="007973CE"/>
    <w:rsid w:val="0079793E"/>
    <w:rsid w:val="00797C81"/>
    <w:rsid w:val="007A0FD7"/>
    <w:rsid w:val="007A2134"/>
    <w:rsid w:val="007A28FB"/>
    <w:rsid w:val="007A36FF"/>
    <w:rsid w:val="007A3E24"/>
    <w:rsid w:val="007A3F0F"/>
    <w:rsid w:val="007A4741"/>
    <w:rsid w:val="007A56AA"/>
    <w:rsid w:val="007A5D9A"/>
    <w:rsid w:val="007A7428"/>
    <w:rsid w:val="007B0776"/>
    <w:rsid w:val="007B1685"/>
    <w:rsid w:val="007B2F8F"/>
    <w:rsid w:val="007B2F96"/>
    <w:rsid w:val="007B39CA"/>
    <w:rsid w:val="007B45B0"/>
    <w:rsid w:val="007B45FF"/>
    <w:rsid w:val="007B5911"/>
    <w:rsid w:val="007C09E0"/>
    <w:rsid w:val="007C0F9C"/>
    <w:rsid w:val="007C168C"/>
    <w:rsid w:val="007C333E"/>
    <w:rsid w:val="007C39B0"/>
    <w:rsid w:val="007C4ACF"/>
    <w:rsid w:val="007C5F1E"/>
    <w:rsid w:val="007C64EE"/>
    <w:rsid w:val="007C6F5B"/>
    <w:rsid w:val="007C75B6"/>
    <w:rsid w:val="007D0E15"/>
    <w:rsid w:val="007D299D"/>
    <w:rsid w:val="007D2DB9"/>
    <w:rsid w:val="007D3320"/>
    <w:rsid w:val="007D356D"/>
    <w:rsid w:val="007D3E06"/>
    <w:rsid w:val="007D4B75"/>
    <w:rsid w:val="007D6BE6"/>
    <w:rsid w:val="007D6FB0"/>
    <w:rsid w:val="007D750B"/>
    <w:rsid w:val="007D7ACB"/>
    <w:rsid w:val="007E00EF"/>
    <w:rsid w:val="007E01C5"/>
    <w:rsid w:val="007E14FA"/>
    <w:rsid w:val="007E1688"/>
    <w:rsid w:val="007E2AF1"/>
    <w:rsid w:val="007E2D12"/>
    <w:rsid w:val="007E436B"/>
    <w:rsid w:val="007E47A6"/>
    <w:rsid w:val="007F0AFA"/>
    <w:rsid w:val="007F3FD7"/>
    <w:rsid w:val="007F5679"/>
    <w:rsid w:val="007F7004"/>
    <w:rsid w:val="00800910"/>
    <w:rsid w:val="00800E3B"/>
    <w:rsid w:val="0080125E"/>
    <w:rsid w:val="008018EB"/>
    <w:rsid w:val="00802BFE"/>
    <w:rsid w:val="00802DFF"/>
    <w:rsid w:val="00803AC0"/>
    <w:rsid w:val="00806266"/>
    <w:rsid w:val="00807124"/>
    <w:rsid w:val="008076E7"/>
    <w:rsid w:val="008102BF"/>
    <w:rsid w:val="008142ED"/>
    <w:rsid w:val="0081525A"/>
    <w:rsid w:val="008163A2"/>
    <w:rsid w:val="00816BEB"/>
    <w:rsid w:val="00816DB0"/>
    <w:rsid w:val="00817403"/>
    <w:rsid w:val="0082009C"/>
    <w:rsid w:val="008206C4"/>
    <w:rsid w:val="00822241"/>
    <w:rsid w:val="00822564"/>
    <w:rsid w:val="00824550"/>
    <w:rsid w:val="00824ADB"/>
    <w:rsid w:val="00824EE4"/>
    <w:rsid w:val="00825861"/>
    <w:rsid w:val="00825DCB"/>
    <w:rsid w:val="00826321"/>
    <w:rsid w:val="00826C55"/>
    <w:rsid w:val="00826E7A"/>
    <w:rsid w:val="008305BC"/>
    <w:rsid w:val="00830658"/>
    <w:rsid w:val="0083107E"/>
    <w:rsid w:val="00831D7D"/>
    <w:rsid w:val="00832655"/>
    <w:rsid w:val="00832956"/>
    <w:rsid w:val="00832C50"/>
    <w:rsid w:val="0083322F"/>
    <w:rsid w:val="0083359A"/>
    <w:rsid w:val="00833D03"/>
    <w:rsid w:val="00833DA7"/>
    <w:rsid w:val="008344F1"/>
    <w:rsid w:val="00834CFF"/>
    <w:rsid w:val="0083601C"/>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23CF"/>
    <w:rsid w:val="00854425"/>
    <w:rsid w:val="0085479C"/>
    <w:rsid w:val="008547B5"/>
    <w:rsid w:val="0085509F"/>
    <w:rsid w:val="00855196"/>
    <w:rsid w:val="00857251"/>
    <w:rsid w:val="00857456"/>
    <w:rsid w:val="00860956"/>
    <w:rsid w:val="00861907"/>
    <w:rsid w:val="0086317D"/>
    <w:rsid w:val="00863B88"/>
    <w:rsid w:val="00863EFC"/>
    <w:rsid w:val="00863F9B"/>
    <w:rsid w:val="00864238"/>
    <w:rsid w:val="0086509D"/>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E61"/>
    <w:rsid w:val="0087781F"/>
    <w:rsid w:val="00880F1D"/>
    <w:rsid w:val="00881C81"/>
    <w:rsid w:val="00881D53"/>
    <w:rsid w:val="008830DA"/>
    <w:rsid w:val="00883AAE"/>
    <w:rsid w:val="0088426D"/>
    <w:rsid w:val="00885159"/>
    <w:rsid w:val="00885EC2"/>
    <w:rsid w:val="00890310"/>
    <w:rsid w:val="0089047B"/>
    <w:rsid w:val="00890B5B"/>
    <w:rsid w:val="0089111A"/>
    <w:rsid w:val="0089145A"/>
    <w:rsid w:val="008916AF"/>
    <w:rsid w:val="00891D96"/>
    <w:rsid w:val="00891DAA"/>
    <w:rsid w:val="008920BE"/>
    <w:rsid w:val="00892FA9"/>
    <w:rsid w:val="0089392B"/>
    <w:rsid w:val="00894024"/>
    <w:rsid w:val="0089466C"/>
    <w:rsid w:val="008952E7"/>
    <w:rsid w:val="008972E5"/>
    <w:rsid w:val="008A03C1"/>
    <w:rsid w:val="008A09EF"/>
    <w:rsid w:val="008A155F"/>
    <w:rsid w:val="008A32BF"/>
    <w:rsid w:val="008A48C7"/>
    <w:rsid w:val="008A4F8A"/>
    <w:rsid w:val="008A51F5"/>
    <w:rsid w:val="008A54DE"/>
    <w:rsid w:val="008A57F3"/>
    <w:rsid w:val="008A5CA3"/>
    <w:rsid w:val="008A5CBF"/>
    <w:rsid w:val="008A60D3"/>
    <w:rsid w:val="008A6678"/>
    <w:rsid w:val="008B15C6"/>
    <w:rsid w:val="008B3510"/>
    <w:rsid w:val="008B49E6"/>
    <w:rsid w:val="008B55CB"/>
    <w:rsid w:val="008B6FA1"/>
    <w:rsid w:val="008B7F41"/>
    <w:rsid w:val="008C201D"/>
    <w:rsid w:val="008C28D7"/>
    <w:rsid w:val="008C3C62"/>
    <w:rsid w:val="008C423E"/>
    <w:rsid w:val="008C4693"/>
    <w:rsid w:val="008C56E9"/>
    <w:rsid w:val="008C5C45"/>
    <w:rsid w:val="008C6E2D"/>
    <w:rsid w:val="008C755D"/>
    <w:rsid w:val="008C75DE"/>
    <w:rsid w:val="008C7763"/>
    <w:rsid w:val="008C7DC1"/>
    <w:rsid w:val="008D1070"/>
    <w:rsid w:val="008D2A6F"/>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F0A93"/>
    <w:rsid w:val="008F1272"/>
    <w:rsid w:val="008F199C"/>
    <w:rsid w:val="008F33A6"/>
    <w:rsid w:val="008F3852"/>
    <w:rsid w:val="008F48A6"/>
    <w:rsid w:val="008F62F2"/>
    <w:rsid w:val="008F63F4"/>
    <w:rsid w:val="008F67B1"/>
    <w:rsid w:val="008F6BC9"/>
    <w:rsid w:val="008F6E67"/>
    <w:rsid w:val="008F723C"/>
    <w:rsid w:val="008F7DF7"/>
    <w:rsid w:val="008F7E38"/>
    <w:rsid w:val="00901BDD"/>
    <w:rsid w:val="00903818"/>
    <w:rsid w:val="00903935"/>
    <w:rsid w:val="00903B2B"/>
    <w:rsid w:val="009057C8"/>
    <w:rsid w:val="00906D86"/>
    <w:rsid w:val="009100C2"/>
    <w:rsid w:val="0091071B"/>
    <w:rsid w:val="00910B58"/>
    <w:rsid w:val="00910C34"/>
    <w:rsid w:val="009114DD"/>
    <w:rsid w:val="0091218F"/>
    <w:rsid w:val="00914023"/>
    <w:rsid w:val="00915DD9"/>
    <w:rsid w:val="00915F95"/>
    <w:rsid w:val="00916197"/>
    <w:rsid w:val="00916464"/>
    <w:rsid w:val="00917E8A"/>
    <w:rsid w:val="0092386E"/>
    <w:rsid w:val="009268A8"/>
    <w:rsid w:val="00927190"/>
    <w:rsid w:val="009279D3"/>
    <w:rsid w:val="0093003B"/>
    <w:rsid w:val="009307DF"/>
    <w:rsid w:val="00930C89"/>
    <w:rsid w:val="00930DFE"/>
    <w:rsid w:val="00931BA7"/>
    <w:rsid w:val="00931C78"/>
    <w:rsid w:val="00931E24"/>
    <w:rsid w:val="00932840"/>
    <w:rsid w:val="00932F44"/>
    <w:rsid w:val="0093430A"/>
    <w:rsid w:val="00936E26"/>
    <w:rsid w:val="00942A5B"/>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61426"/>
    <w:rsid w:val="00962BFD"/>
    <w:rsid w:val="009631CA"/>
    <w:rsid w:val="00964A78"/>
    <w:rsid w:val="00965BE2"/>
    <w:rsid w:val="009665CF"/>
    <w:rsid w:val="00967C8F"/>
    <w:rsid w:val="00967D30"/>
    <w:rsid w:val="00970724"/>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D74"/>
    <w:rsid w:val="00995560"/>
    <w:rsid w:val="00995FDC"/>
    <w:rsid w:val="00996A61"/>
    <w:rsid w:val="00996E14"/>
    <w:rsid w:val="009A046A"/>
    <w:rsid w:val="009A06CD"/>
    <w:rsid w:val="009A1BB7"/>
    <w:rsid w:val="009A321E"/>
    <w:rsid w:val="009A3EF2"/>
    <w:rsid w:val="009A4BE6"/>
    <w:rsid w:val="009A4C38"/>
    <w:rsid w:val="009A5F08"/>
    <w:rsid w:val="009A6672"/>
    <w:rsid w:val="009A6E9B"/>
    <w:rsid w:val="009B088A"/>
    <w:rsid w:val="009B1242"/>
    <w:rsid w:val="009B4390"/>
    <w:rsid w:val="009B487D"/>
    <w:rsid w:val="009B4C71"/>
    <w:rsid w:val="009B5E7D"/>
    <w:rsid w:val="009B64B2"/>
    <w:rsid w:val="009C0D8E"/>
    <w:rsid w:val="009C1CC2"/>
    <w:rsid w:val="009C278A"/>
    <w:rsid w:val="009C27C9"/>
    <w:rsid w:val="009C2D46"/>
    <w:rsid w:val="009C2D6B"/>
    <w:rsid w:val="009C599F"/>
    <w:rsid w:val="009C60AE"/>
    <w:rsid w:val="009C6C4B"/>
    <w:rsid w:val="009C7778"/>
    <w:rsid w:val="009C7F7F"/>
    <w:rsid w:val="009D1011"/>
    <w:rsid w:val="009D237A"/>
    <w:rsid w:val="009D29B7"/>
    <w:rsid w:val="009D2F7C"/>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ED"/>
    <w:rsid w:val="009F5D0B"/>
    <w:rsid w:val="009F6175"/>
    <w:rsid w:val="009F6291"/>
    <w:rsid w:val="009F66C3"/>
    <w:rsid w:val="009F6D16"/>
    <w:rsid w:val="009F7DD7"/>
    <w:rsid w:val="00A00F05"/>
    <w:rsid w:val="00A013F7"/>
    <w:rsid w:val="00A02512"/>
    <w:rsid w:val="00A028C7"/>
    <w:rsid w:val="00A02B6E"/>
    <w:rsid w:val="00A04F82"/>
    <w:rsid w:val="00A062FD"/>
    <w:rsid w:val="00A063D6"/>
    <w:rsid w:val="00A06D68"/>
    <w:rsid w:val="00A074FA"/>
    <w:rsid w:val="00A1097E"/>
    <w:rsid w:val="00A10B8A"/>
    <w:rsid w:val="00A10C46"/>
    <w:rsid w:val="00A10E83"/>
    <w:rsid w:val="00A10E96"/>
    <w:rsid w:val="00A10E9D"/>
    <w:rsid w:val="00A10ED7"/>
    <w:rsid w:val="00A1112E"/>
    <w:rsid w:val="00A11C33"/>
    <w:rsid w:val="00A1550D"/>
    <w:rsid w:val="00A169BE"/>
    <w:rsid w:val="00A16E08"/>
    <w:rsid w:val="00A2021D"/>
    <w:rsid w:val="00A2052D"/>
    <w:rsid w:val="00A20C17"/>
    <w:rsid w:val="00A21D12"/>
    <w:rsid w:val="00A21EDC"/>
    <w:rsid w:val="00A22119"/>
    <w:rsid w:val="00A2231F"/>
    <w:rsid w:val="00A2358E"/>
    <w:rsid w:val="00A23E64"/>
    <w:rsid w:val="00A2566F"/>
    <w:rsid w:val="00A25D80"/>
    <w:rsid w:val="00A27A11"/>
    <w:rsid w:val="00A27EF4"/>
    <w:rsid w:val="00A30926"/>
    <w:rsid w:val="00A31B9C"/>
    <w:rsid w:val="00A325A3"/>
    <w:rsid w:val="00A3291B"/>
    <w:rsid w:val="00A32985"/>
    <w:rsid w:val="00A3337A"/>
    <w:rsid w:val="00A3338D"/>
    <w:rsid w:val="00A344AC"/>
    <w:rsid w:val="00A347B9"/>
    <w:rsid w:val="00A34AD1"/>
    <w:rsid w:val="00A35366"/>
    <w:rsid w:val="00A355C0"/>
    <w:rsid w:val="00A36083"/>
    <w:rsid w:val="00A3615F"/>
    <w:rsid w:val="00A3656E"/>
    <w:rsid w:val="00A36F9B"/>
    <w:rsid w:val="00A370BD"/>
    <w:rsid w:val="00A4066A"/>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5381"/>
    <w:rsid w:val="00A65F29"/>
    <w:rsid w:val="00A669D9"/>
    <w:rsid w:val="00A67926"/>
    <w:rsid w:val="00A70E3C"/>
    <w:rsid w:val="00A711D4"/>
    <w:rsid w:val="00A7124A"/>
    <w:rsid w:val="00A71B5C"/>
    <w:rsid w:val="00A72B2C"/>
    <w:rsid w:val="00A73571"/>
    <w:rsid w:val="00A73EEF"/>
    <w:rsid w:val="00A74A3C"/>
    <w:rsid w:val="00A74F4A"/>
    <w:rsid w:val="00A7603A"/>
    <w:rsid w:val="00A80ED4"/>
    <w:rsid w:val="00A8273E"/>
    <w:rsid w:val="00A8376E"/>
    <w:rsid w:val="00A85449"/>
    <w:rsid w:val="00A85B65"/>
    <w:rsid w:val="00A85DF7"/>
    <w:rsid w:val="00A86DCE"/>
    <w:rsid w:val="00A86E9F"/>
    <w:rsid w:val="00A87249"/>
    <w:rsid w:val="00A8796A"/>
    <w:rsid w:val="00A90357"/>
    <w:rsid w:val="00A90883"/>
    <w:rsid w:val="00A90E61"/>
    <w:rsid w:val="00A912EB"/>
    <w:rsid w:val="00A91BB6"/>
    <w:rsid w:val="00A9361D"/>
    <w:rsid w:val="00A93C34"/>
    <w:rsid w:val="00A93F3C"/>
    <w:rsid w:val="00A94224"/>
    <w:rsid w:val="00A94991"/>
    <w:rsid w:val="00A94B7D"/>
    <w:rsid w:val="00A95E2C"/>
    <w:rsid w:val="00A95E87"/>
    <w:rsid w:val="00A96EBE"/>
    <w:rsid w:val="00A9717E"/>
    <w:rsid w:val="00A97B67"/>
    <w:rsid w:val="00AA097A"/>
    <w:rsid w:val="00AA0A40"/>
    <w:rsid w:val="00AA26A0"/>
    <w:rsid w:val="00AA30A7"/>
    <w:rsid w:val="00AA38AC"/>
    <w:rsid w:val="00AA41FF"/>
    <w:rsid w:val="00AA4715"/>
    <w:rsid w:val="00AA50C9"/>
    <w:rsid w:val="00AA65A6"/>
    <w:rsid w:val="00AA6D36"/>
    <w:rsid w:val="00AA706A"/>
    <w:rsid w:val="00AA73B7"/>
    <w:rsid w:val="00AA7F06"/>
    <w:rsid w:val="00AB010A"/>
    <w:rsid w:val="00AB2328"/>
    <w:rsid w:val="00AB3013"/>
    <w:rsid w:val="00AB3734"/>
    <w:rsid w:val="00AB3BE3"/>
    <w:rsid w:val="00AB52D7"/>
    <w:rsid w:val="00AB6010"/>
    <w:rsid w:val="00AB611F"/>
    <w:rsid w:val="00AB65EE"/>
    <w:rsid w:val="00AB6ED7"/>
    <w:rsid w:val="00AC0709"/>
    <w:rsid w:val="00AC08E7"/>
    <w:rsid w:val="00AC1132"/>
    <w:rsid w:val="00AC38E5"/>
    <w:rsid w:val="00AC5A71"/>
    <w:rsid w:val="00AC5DB5"/>
    <w:rsid w:val="00AC611F"/>
    <w:rsid w:val="00AC6A1B"/>
    <w:rsid w:val="00AD0812"/>
    <w:rsid w:val="00AD0B88"/>
    <w:rsid w:val="00AD18FB"/>
    <w:rsid w:val="00AD2C3B"/>
    <w:rsid w:val="00AD3B03"/>
    <w:rsid w:val="00AD5C77"/>
    <w:rsid w:val="00AD68E0"/>
    <w:rsid w:val="00AD6F48"/>
    <w:rsid w:val="00AE092D"/>
    <w:rsid w:val="00AE140F"/>
    <w:rsid w:val="00AE1745"/>
    <w:rsid w:val="00AE21AB"/>
    <w:rsid w:val="00AE23CE"/>
    <w:rsid w:val="00AE2588"/>
    <w:rsid w:val="00AE2870"/>
    <w:rsid w:val="00AE2A5E"/>
    <w:rsid w:val="00AF01B0"/>
    <w:rsid w:val="00AF02FF"/>
    <w:rsid w:val="00AF0C61"/>
    <w:rsid w:val="00AF317F"/>
    <w:rsid w:val="00AF334D"/>
    <w:rsid w:val="00AF34DC"/>
    <w:rsid w:val="00AF37F1"/>
    <w:rsid w:val="00AF3C7E"/>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114C"/>
    <w:rsid w:val="00B126D7"/>
    <w:rsid w:val="00B132EF"/>
    <w:rsid w:val="00B13C14"/>
    <w:rsid w:val="00B13C82"/>
    <w:rsid w:val="00B13FE0"/>
    <w:rsid w:val="00B14308"/>
    <w:rsid w:val="00B1543C"/>
    <w:rsid w:val="00B162B1"/>
    <w:rsid w:val="00B16414"/>
    <w:rsid w:val="00B17974"/>
    <w:rsid w:val="00B17B60"/>
    <w:rsid w:val="00B200E2"/>
    <w:rsid w:val="00B208F8"/>
    <w:rsid w:val="00B22EF5"/>
    <w:rsid w:val="00B23965"/>
    <w:rsid w:val="00B23B63"/>
    <w:rsid w:val="00B23EA8"/>
    <w:rsid w:val="00B23EE5"/>
    <w:rsid w:val="00B247A5"/>
    <w:rsid w:val="00B254C2"/>
    <w:rsid w:val="00B25D8C"/>
    <w:rsid w:val="00B26365"/>
    <w:rsid w:val="00B26B50"/>
    <w:rsid w:val="00B30693"/>
    <w:rsid w:val="00B30D3E"/>
    <w:rsid w:val="00B30E02"/>
    <w:rsid w:val="00B33DD9"/>
    <w:rsid w:val="00B3620D"/>
    <w:rsid w:val="00B36366"/>
    <w:rsid w:val="00B369A5"/>
    <w:rsid w:val="00B37337"/>
    <w:rsid w:val="00B402D4"/>
    <w:rsid w:val="00B404EB"/>
    <w:rsid w:val="00B424A4"/>
    <w:rsid w:val="00B4264B"/>
    <w:rsid w:val="00B4296B"/>
    <w:rsid w:val="00B43457"/>
    <w:rsid w:val="00B43DEE"/>
    <w:rsid w:val="00B44281"/>
    <w:rsid w:val="00B44840"/>
    <w:rsid w:val="00B44B2B"/>
    <w:rsid w:val="00B4599B"/>
    <w:rsid w:val="00B476A0"/>
    <w:rsid w:val="00B5123F"/>
    <w:rsid w:val="00B52562"/>
    <w:rsid w:val="00B53DA9"/>
    <w:rsid w:val="00B548C6"/>
    <w:rsid w:val="00B55E5C"/>
    <w:rsid w:val="00B5664B"/>
    <w:rsid w:val="00B57207"/>
    <w:rsid w:val="00B574F9"/>
    <w:rsid w:val="00B5786F"/>
    <w:rsid w:val="00B62283"/>
    <w:rsid w:val="00B62E3E"/>
    <w:rsid w:val="00B65A38"/>
    <w:rsid w:val="00B65F0A"/>
    <w:rsid w:val="00B6667F"/>
    <w:rsid w:val="00B66B00"/>
    <w:rsid w:val="00B66C91"/>
    <w:rsid w:val="00B67A07"/>
    <w:rsid w:val="00B706AB"/>
    <w:rsid w:val="00B7315F"/>
    <w:rsid w:val="00B73AB6"/>
    <w:rsid w:val="00B741D0"/>
    <w:rsid w:val="00B74B18"/>
    <w:rsid w:val="00B75308"/>
    <w:rsid w:val="00B75822"/>
    <w:rsid w:val="00B75BCE"/>
    <w:rsid w:val="00B763DC"/>
    <w:rsid w:val="00B77677"/>
    <w:rsid w:val="00B8099D"/>
    <w:rsid w:val="00B80CBD"/>
    <w:rsid w:val="00B813E5"/>
    <w:rsid w:val="00B839AD"/>
    <w:rsid w:val="00B84ABA"/>
    <w:rsid w:val="00B850E9"/>
    <w:rsid w:val="00B90239"/>
    <w:rsid w:val="00B90852"/>
    <w:rsid w:val="00B91043"/>
    <w:rsid w:val="00B9139C"/>
    <w:rsid w:val="00B933D1"/>
    <w:rsid w:val="00B93870"/>
    <w:rsid w:val="00B93B76"/>
    <w:rsid w:val="00B94BC5"/>
    <w:rsid w:val="00B94D0F"/>
    <w:rsid w:val="00B95EFC"/>
    <w:rsid w:val="00B97831"/>
    <w:rsid w:val="00B97C1B"/>
    <w:rsid w:val="00BA1A80"/>
    <w:rsid w:val="00BA4430"/>
    <w:rsid w:val="00BA4695"/>
    <w:rsid w:val="00BA47C6"/>
    <w:rsid w:val="00BA4AF7"/>
    <w:rsid w:val="00BA4FE7"/>
    <w:rsid w:val="00BA5E5C"/>
    <w:rsid w:val="00BA68F5"/>
    <w:rsid w:val="00BA7339"/>
    <w:rsid w:val="00BA7349"/>
    <w:rsid w:val="00BB0427"/>
    <w:rsid w:val="00BB31EA"/>
    <w:rsid w:val="00BB6D13"/>
    <w:rsid w:val="00BB75D3"/>
    <w:rsid w:val="00BC0EBE"/>
    <w:rsid w:val="00BC593D"/>
    <w:rsid w:val="00BC62ED"/>
    <w:rsid w:val="00BC6640"/>
    <w:rsid w:val="00BC6B0F"/>
    <w:rsid w:val="00BC735E"/>
    <w:rsid w:val="00BC7FD0"/>
    <w:rsid w:val="00BD072A"/>
    <w:rsid w:val="00BD09BA"/>
    <w:rsid w:val="00BD0F3E"/>
    <w:rsid w:val="00BD10E8"/>
    <w:rsid w:val="00BD1C30"/>
    <w:rsid w:val="00BD24BC"/>
    <w:rsid w:val="00BD27F0"/>
    <w:rsid w:val="00BD3EA9"/>
    <w:rsid w:val="00BD43AE"/>
    <w:rsid w:val="00BD48F4"/>
    <w:rsid w:val="00BD5595"/>
    <w:rsid w:val="00BD5B84"/>
    <w:rsid w:val="00BD5CCC"/>
    <w:rsid w:val="00BD678F"/>
    <w:rsid w:val="00BD7CFB"/>
    <w:rsid w:val="00BE089D"/>
    <w:rsid w:val="00BE1317"/>
    <w:rsid w:val="00BE1F07"/>
    <w:rsid w:val="00BE2902"/>
    <w:rsid w:val="00BE4077"/>
    <w:rsid w:val="00BE5050"/>
    <w:rsid w:val="00BE5367"/>
    <w:rsid w:val="00BE55A2"/>
    <w:rsid w:val="00BE619F"/>
    <w:rsid w:val="00BE7F25"/>
    <w:rsid w:val="00BE7FF0"/>
    <w:rsid w:val="00BF0089"/>
    <w:rsid w:val="00BF0FCB"/>
    <w:rsid w:val="00BF0FE5"/>
    <w:rsid w:val="00BF1873"/>
    <w:rsid w:val="00BF1B43"/>
    <w:rsid w:val="00BF235E"/>
    <w:rsid w:val="00BF3391"/>
    <w:rsid w:val="00BF3540"/>
    <w:rsid w:val="00BF3CEF"/>
    <w:rsid w:val="00BF428F"/>
    <w:rsid w:val="00BF4468"/>
    <w:rsid w:val="00BF46BF"/>
    <w:rsid w:val="00BF59D8"/>
    <w:rsid w:val="00BF64D5"/>
    <w:rsid w:val="00BF65FC"/>
    <w:rsid w:val="00BF71FA"/>
    <w:rsid w:val="00C0024B"/>
    <w:rsid w:val="00C00956"/>
    <w:rsid w:val="00C015EC"/>
    <w:rsid w:val="00C0302C"/>
    <w:rsid w:val="00C04272"/>
    <w:rsid w:val="00C04EB0"/>
    <w:rsid w:val="00C05E3C"/>
    <w:rsid w:val="00C07068"/>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7072"/>
    <w:rsid w:val="00C37942"/>
    <w:rsid w:val="00C37A30"/>
    <w:rsid w:val="00C41908"/>
    <w:rsid w:val="00C419A8"/>
    <w:rsid w:val="00C42437"/>
    <w:rsid w:val="00C42D53"/>
    <w:rsid w:val="00C4511E"/>
    <w:rsid w:val="00C45EEF"/>
    <w:rsid w:val="00C45FD9"/>
    <w:rsid w:val="00C461FA"/>
    <w:rsid w:val="00C476DD"/>
    <w:rsid w:val="00C51EA2"/>
    <w:rsid w:val="00C54509"/>
    <w:rsid w:val="00C5567D"/>
    <w:rsid w:val="00C5709D"/>
    <w:rsid w:val="00C57173"/>
    <w:rsid w:val="00C57986"/>
    <w:rsid w:val="00C61371"/>
    <w:rsid w:val="00C62B63"/>
    <w:rsid w:val="00C632BA"/>
    <w:rsid w:val="00C64288"/>
    <w:rsid w:val="00C66A74"/>
    <w:rsid w:val="00C703BE"/>
    <w:rsid w:val="00C72020"/>
    <w:rsid w:val="00C728D1"/>
    <w:rsid w:val="00C729BF"/>
    <w:rsid w:val="00C73D91"/>
    <w:rsid w:val="00C74072"/>
    <w:rsid w:val="00C74363"/>
    <w:rsid w:val="00C756C1"/>
    <w:rsid w:val="00C75F7A"/>
    <w:rsid w:val="00C769D0"/>
    <w:rsid w:val="00C77264"/>
    <w:rsid w:val="00C83120"/>
    <w:rsid w:val="00C842C2"/>
    <w:rsid w:val="00C84BEB"/>
    <w:rsid w:val="00C863A9"/>
    <w:rsid w:val="00C865D0"/>
    <w:rsid w:val="00C870D1"/>
    <w:rsid w:val="00C901FD"/>
    <w:rsid w:val="00C90671"/>
    <w:rsid w:val="00C90D61"/>
    <w:rsid w:val="00C93AC8"/>
    <w:rsid w:val="00C96B06"/>
    <w:rsid w:val="00C96B6C"/>
    <w:rsid w:val="00CA0757"/>
    <w:rsid w:val="00CA441D"/>
    <w:rsid w:val="00CA4B49"/>
    <w:rsid w:val="00CA52B2"/>
    <w:rsid w:val="00CA592E"/>
    <w:rsid w:val="00CA5DB7"/>
    <w:rsid w:val="00CA6471"/>
    <w:rsid w:val="00CA67E5"/>
    <w:rsid w:val="00CA6804"/>
    <w:rsid w:val="00CA6B23"/>
    <w:rsid w:val="00CA6D8E"/>
    <w:rsid w:val="00CB0F1D"/>
    <w:rsid w:val="00CB1188"/>
    <w:rsid w:val="00CB1DBF"/>
    <w:rsid w:val="00CB32FC"/>
    <w:rsid w:val="00CB4522"/>
    <w:rsid w:val="00CB495C"/>
    <w:rsid w:val="00CB69C2"/>
    <w:rsid w:val="00CB7F76"/>
    <w:rsid w:val="00CC168C"/>
    <w:rsid w:val="00CC203F"/>
    <w:rsid w:val="00CC2152"/>
    <w:rsid w:val="00CC2745"/>
    <w:rsid w:val="00CC567D"/>
    <w:rsid w:val="00CC5990"/>
    <w:rsid w:val="00CC5F59"/>
    <w:rsid w:val="00CC6AB4"/>
    <w:rsid w:val="00CC7118"/>
    <w:rsid w:val="00CC758E"/>
    <w:rsid w:val="00CC78DC"/>
    <w:rsid w:val="00CD0467"/>
    <w:rsid w:val="00CD1FF7"/>
    <w:rsid w:val="00CD20A7"/>
    <w:rsid w:val="00CD2AFC"/>
    <w:rsid w:val="00CD2F16"/>
    <w:rsid w:val="00CD4D6F"/>
    <w:rsid w:val="00CD6284"/>
    <w:rsid w:val="00CD78F3"/>
    <w:rsid w:val="00CD7F87"/>
    <w:rsid w:val="00CE0380"/>
    <w:rsid w:val="00CE076C"/>
    <w:rsid w:val="00CE0966"/>
    <w:rsid w:val="00CE15E3"/>
    <w:rsid w:val="00CE2F04"/>
    <w:rsid w:val="00CE4863"/>
    <w:rsid w:val="00CE5EF5"/>
    <w:rsid w:val="00CE7856"/>
    <w:rsid w:val="00CF0E43"/>
    <w:rsid w:val="00CF4F38"/>
    <w:rsid w:val="00CF5592"/>
    <w:rsid w:val="00CF55E1"/>
    <w:rsid w:val="00CF591A"/>
    <w:rsid w:val="00CF5B25"/>
    <w:rsid w:val="00CF62F9"/>
    <w:rsid w:val="00D002F6"/>
    <w:rsid w:val="00D00D74"/>
    <w:rsid w:val="00D02AA1"/>
    <w:rsid w:val="00D03333"/>
    <w:rsid w:val="00D03F9F"/>
    <w:rsid w:val="00D069EA"/>
    <w:rsid w:val="00D0708A"/>
    <w:rsid w:val="00D104AA"/>
    <w:rsid w:val="00D12A3D"/>
    <w:rsid w:val="00D12A8D"/>
    <w:rsid w:val="00D13D37"/>
    <w:rsid w:val="00D1500D"/>
    <w:rsid w:val="00D1529B"/>
    <w:rsid w:val="00D15DBA"/>
    <w:rsid w:val="00D16273"/>
    <w:rsid w:val="00D179E4"/>
    <w:rsid w:val="00D17AB7"/>
    <w:rsid w:val="00D20B6E"/>
    <w:rsid w:val="00D213FB"/>
    <w:rsid w:val="00D2291C"/>
    <w:rsid w:val="00D237E0"/>
    <w:rsid w:val="00D25667"/>
    <w:rsid w:val="00D25884"/>
    <w:rsid w:val="00D25A86"/>
    <w:rsid w:val="00D25AFC"/>
    <w:rsid w:val="00D25D53"/>
    <w:rsid w:val="00D277DB"/>
    <w:rsid w:val="00D278B3"/>
    <w:rsid w:val="00D301D4"/>
    <w:rsid w:val="00D303CC"/>
    <w:rsid w:val="00D33D5C"/>
    <w:rsid w:val="00D3433C"/>
    <w:rsid w:val="00D346FB"/>
    <w:rsid w:val="00D356B4"/>
    <w:rsid w:val="00D357EC"/>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80CC2"/>
    <w:rsid w:val="00D815D3"/>
    <w:rsid w:val="00D81ED2"/>
    <w:rsid w:val="00D839D8"/>
    <w:rsid w:val="00D846ED"/>
    <w:rsid w:val="00D84BC6"/>
    <w:rsid w:val="00D85040"/>
    <w:rsid w:val="00D8564C"/>
    <w:rsid w:val="00D87C45"/>
    <w:rsid w:val="00D9089C"/>
    <w:rsid w:val="00D90EB0"/>
    <w:rsid w:val="00D91BFE"/>
    <w:rsid w:val="00D93335"/>
    <w:rsid w:val="00D94324"/>
    <w:rsid w:val="00D946E3"/>
    <w:rsid w:val="00D9503E"/>
    <w:rsid w:val="00D952CF"/>
    <w:rsid w:val="00D9543B"/>
    <w:rsid w:val="00D95CFB"/>
    <w:rsid w:val="00D973D0"/>
    <w:rsid w:val="00DA0267"/>
    <w:rsid w:val="00DA3755"/>
    <w:rsid w:val="00DA61A6"/>
    <w:rsid w:val="00DA6B40"/>
    <w:rsid w:val="00DA6B64"/>
    <w:rsid w:val="00DB0B30"/>
    <w:rsid w:val="00DB0DC7"/>
    <w:rsid w:val="00DB3905"/>
    <w:rsid w:val="00DB4862"/>
    <w:rsid w:val="00DB5244"/>
    <w:rsid w:val="00DB5BE2"/>
    <w:rsid w:val="00DB76BF"/>
    <w:rsid w:val="00DC0656"/>
    <w:rsid w:val="00DC23F8"/>
    <w:rsid w:val="00DC2F54"/>
    <w:rsid w:val="00DC481A"/>
    <w:rsid w:val="00DC5C69"/>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E50"/>
    <w:rsid w:val="00DE1DD9"/>
    <w:rsid w:val="00DE317D"/>
    <w:rsid w:val="00DE4857"/>
    <w:rsid w:val="00DE580F"/>
    <w:rsid w:val="00DE76E9"/>
    <w:rsid w:val="00DE770F"/>
    <w:rsid w:val="00DF0DD0"/>
    <w:rsid w:val="00DF11D1"/>
    <w:rsid w:val="00DF1812"/>
    <w:rsid w:val="00DF2123"/>
    <w:rsid w:val="00DF2353"/>
    <w:rsid w:val="00DF2388"/>
    <w:rsid w:val="00DF24DD"/>
    <w:rsid w:val="00DF277F"/>
    <w:rsid w:val="00DF27D5"/>
    <w:rsid w:val="00DF29CD"/>
    <w:rsid w:val="00DF2F9D"/>
    <w:rsid w:val="00DF4495"/>
    <w:rsid w:val="00DF66A6"/>
    <w:rsid w:val="00E031C1"/>
    <w:rsid w:val="00E037C3"/>
    <w:rsid w:val="00E03CC9"/>
    <w:rsid w:val="00E0498B"/>
    <w:rsid w:val="00E04A67"/>
    <w:rsid w:val="00E04AFF"/>
    <w:rsid w:val="00E057FD"/>
    <w:rsid w:val="00E0652C"/>
    <w:rsid w:val="00E06BE6"/>
    <w:rsid w:val="00E1128A"/>
    <w:rsid w:val="00E116C4"/>
    <w:rsid w:val="00E11A66"/>
    <w:rsid w:val="00E12A64"/>
    <w:rsid w:val="00E12F7E"/>
    <w:rsid w:val="00E132B8"/>
    <w:rsid w:val="00E13618"/>
    <w:rsid w:val="00E14BDF"/>
    <w:rsid w:val="00E1525C"/>
    <w:rsid w:val="00E16427"/>
    <w:rsid w:val="00E16BFB"/>
    <w:rsid w:val="00E16EBF"/>
    <w:rsid w:val="00E1738A"/>
    <w:rsid w:val="00E174F8"/>
    <w:rsid w:val="00E203F1"/>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6D09"/>
    <w:rsid w:val="00E71197"/>
    <w:rsid w:val="00E71CB1"/>
    <w:rsid w:val="00E722F1"/>
    <w:rsid w:val="00E7282C"/>
    <w:rsid w:val="00E7321A"/>
    <w:rsid w:val="00E733DB"/>
    <w:rsid w:val="00E741AE"/>
    <w:rsid w:val="00E77E39"/>
    <w:rsid w:val="00E8064F"/>
    <w:rsid w:val="00E8115F"/>
    <w:rsid w:val="00E83A09"/>
    <w:rsid w:val="00E856C7"/>
    <w:rsid w:val="00E85F8C"/>
    <w:rsid w:val="00E860D8"/>
    <w:rsid w:val="00E86DA3"/>
    <w:rsid w:val="00E87480"/>
    <w:rsid w:val="00E875BA"/>
    <w:rsid w:val="00E875D1"/>
    <w:rsid w:val="00E9000A"/>
    <w:rsid w:val="00E9089C"/>
    <w:rsid w:val="00E91E35"/>
    <w:rsid w:val="00E9590A"/>
    <w:rsid w:val="00E95A15"/>
    <w:rsid w:val="00E95AA1"/>
    <w:rsid w:val="00E961B7"/>
    <w:rsid w:val="00EA0B2F"/>
    <w:rsid w:val="00EA3876"/>
    <w:rsid w:val="00EA523E"/>
    <w:rsid w:val="00EA542B"/>
    <w:rsid w:val="00EA6F3F"/>
    <w:rsid w:val="00EA7F92"/>
    <w:rsid w:val="00EB102E"/>
    <w:rsid w:val="00EB110F"/>
    <w:rsid w:val="00EB2FC5"/>
    <w:rsid w:val="00EB3729"/>
    <w:rsid w:val="00EB3ABD"/>
    <w:rsid w:val="00EB44EA"/>
    <w:rsid w:val="00EB672E"/>
    <w:rsid w:val="00EB70C8"/>
    <w:rsid w:val="00EC0111"/>
    <w:rsid w:val="00EC0B5B"/>
    <w:rsid w:val="00EC0DA7"/>
    <w:rsid w:val="00EC18E7"/>
    <w:rsid w:val="00EC1C1F"/>
    <w:rsid w:val="00EC1E37"/>
    <w:rsid w:val="00EC1E3E"/>
    <w:rsid w:val="00EC1EEB"/>
    <w:rsid w:val="00EC35B9"/>
    <w:rsid w:val="00EC3CA7"/>
    <w:rsid w:val="00EC6E03"/>
    <w:rsid w:val="00EC6E8A"/>
    <w:rsid w:val="00EC7201"/>
    <w:rsid w:val="00EC7C30"/>
    <w:rsid w:val="00ED0002"/>
    <w:rsid w:val="00ED1041"/>
    <w:rsid w:val="00ED1053"/>
    <w:rsid w:val="00ED1EB0"/>
    <w:rsid w:val="00ED3F3C"/>
    <w:rsid w:val="00ED7015"/>
    <w:rsid w:val="00ED736F"/>
    <w:rsid w:val="00EE0CBA"/>
    <w:rsid w:val="00EE2643"/>
    <w:rsid w:val="00EE2793"/>
    <w:rsid w:val="00EE6052"/>
    <w:rsid w:val="00EE6294"/>
    <w:rsid w:val="00EF0186"/>
    <w:rsid w:val="00EF0747"/>
    <w:rsid w:val="00EF0DF8"/>
    <w:rsid w:val="00EF2E1B"/>
    <w:rsid w:val="00EF3679"/>
    <w:rsid w:val="00EF5DA4"/>
    <w:rsid w:val="00EF77C8"/>
    <w:rsid w:val="00F005EB"/>
    <w:rsid w:val="00F006E3"/>
    <w:rsid w:val="00F00D71"/>
    <w:rsid w:val="00F01CAB"/>
    <w:rsid w:val="00F02590"/>
    <w:rsid w:val="00F0339C"/>
    <w:rsid w:val="00F0387C"/>
    <w:rsid w:val="00F04451"/>
    <w:rsid w:val="00F06604"/>
    <w:rsid w:val="00F06A28"/>
    <w:rsid w:val="00F0702E"/>
    <w:rsid w:val="00F079E1"/>
    <w:rsid w:val="00F10C86"/>
    <w:rsid w:val="00F11077"/>
    <w:rsid w:val="00F11334"/>
    <w:rsid w:val="00F1248D"/>
    <w:rsid w:val="00F12E13"/>
    <w:rsid w:val="00F12E42"/>
    <w:rsid w:val="00F12F06"/>
    <w:rsid w:val="00F13194"/>
    <w:rsid w:val="00F1377F"/>
    <w:rsid w:val="00F14DFB"/>
    <w:rsid w:val="00F15351"/>
    <w:rsid w:val="00F155C2"/>
    <w:rsid w:val="00F166E1"/>
    <w:rsid w:val="00F17BB4"/>
    <w:rsid w:val="00F21F16"/>
    <w:rsid w:val="00F22464"/>
    <w:rsid w:val="00F22538"/>
    <w:rsid w:val="00F22E54"/>
    <w:rsid w:val="00F237C4"/>
    <w:rsid w:val="00F24646"/>
    <w:rsid w:val="00F250E8"/>
    <w:rsid w:val="00F25246"/>
    <w:rsid w:val="00F25769"/>
    <w:rsid w:val="00F25EFA"/>
    <w:rsid w:val="00F30752"/>
    <w:rsid w:val="00F30ABA"/>
    <w:rsid w:val="00F310EF"/>
    <w:rsid w:val="00F31ACE"/>
    <w:rsid w:val="00F3251E"/>
    <w:rsid w:val="00F32A9C"/>
    <w:rsid w:val="00F32F63"/>
    <w:rsid w:val="00F34735"/>
    <w:rsid w:val="00F355A1"/>
    <w:rsid w:val="00F37BBC"/>
    <w:rsid w:val="00F37E20"/>
    <w:rsid w:val="00F40784"/>
    <w:rsid w:val="00F40C7A"/>
    <w:rsid w:val="00F41317"/>
    <w:rsid w:val="00F4236A"/>
    <w:rsid w:val="00F44F2E"/>
    <w:rsid w:val="00F45544"/>
    <w:rsid w:val="00F4560A"/>
    <w:rsid w:val="00F46B34"/>
    <w:rsid w:val="00F472B1"/>
    <w:rsid w:val="00F5101B"/>
    <w:rsid w:val="00F52E0B"/>
    <w:rsid w:val="00F52E29"/>
    <w:rsid w:val="00F53467"/>
    <w:rsid w:val="00F5445F"/>
    <w:rsid w:val="00F54CDB"/>
    <w:rsid w:val="00F558D0"/>
    <w:rsid w:val="00F56486"/>
    <w:rsid w:val="00F57009"/>
    <w:rsid w:val="00F57143"/>
    <w:rsid w:val="00F57D96"/>
    <w:rsid w:val="00F57ECA"/>
    <w:rsid w:val="00F60940"/>
    <w:rsid w:val="00F60AA3"/>
    <w:rsid w:val="00F61A9C"/>
    <w:rsid w:val="00F62BC2"/>
    <w:rsid w:val="00F64CAA"/>
    <w:rsid w:val="00F651A7"/>
    <w:rsid w:val="00F658B3"/>
    <w:rsid w:val="00F65967"/>
    <w:rsid w:val="00F65DF3"/>
    <w:rsid w:val="00F65F8D"/>
    <w:rsid w:val="00F66554"/>
    <w:rsid w:val="00F7371E"/>
    <w:rsid w:val="00F73F3A"/>
    <w:rsid w:val="00F74295"/>
    <w:rsid w:val="00F7722C"/>
    <w:rsid w:val="00F81C80"/>
    <w:rsid w:val="00F82CCC"/>
    <w:rsid w:val="00F834A8"/>
    <w:rsid w:val="00F850F9"/>
    <w:rsid w:val="00F85A94"/>
    <w:rsid w:val="00F85FEE"/>
    <w:rsid w:val="00F8693B"/>
    <w:rsid w:val="00F86BE1"/>
    <w:rsid w:val="00F87842"/>
    <w:rsid w:val="00F901AA"/>
    <w:rsid w:val="00F905A3"/>
    <w:rsid w:val="00F9095A"/>
    <w:rsid w:val="00F9121E"/>
    <w:rsid w:val="00F919A9"/>
    <w:rsid w:val="00F91CC1"/>
    <w:rsid w:val="00F9233D"/>
    <w:rsid w:val="00F9264B"/>
    <w:rsid w:val="00F951A1"/>
    <w:rsid w:val="00F97190"/>
    <w:rsid w:val="00F9766A"/>
    <w:rsid w:val="00F97B6B"/>
    <w:rsid w:val="00FA13DF"/>
    <w:rsid w:val="00FA1452"/>
    <w:rsid w:val="00FA1BD9"/>
    <w:rsid w:val="00FA27AF"/>
    <w:rsid w:val="00FA42E7"/>
    <w:rsid w:val="00FA4762"/>
    <w:rsid w:val="00FA4E52"/>
    <w:rsid w:val="00FA525F"/>
    <w:rsid w:val="00FA58F6"/>
    <w:rsid w:val="00FA6375"/>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455A"/>
    <w:rsid w:val="00FC5106"/>
    <w:rsid w:val="00FC5BDE"/>
    <w:rsid w:val="00FC5FEC"/>
    <w:rsid w:val="00FC6E3D"/>
    <w:rsid w:val="00FC7877"/>
    <w:rsid w:val="00FD11BB"/>
    <w:rsid w:val="00FD1BEB"/>
    <w:rsid w:val="00FD2743"/>
    <w:rsid w:val="00FD2774"/>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3371"/>
    <w:rsid w:val="00FF6324"/>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3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iPriority w:val="35"/>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7192129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22475241">
      <w:bodyDiv w:val="1"/>
      <w:marLeft w:val="0"/>
      <w:marRight w:val="0"/>
      <w:marTop w:val="0"/>
      <w:marBottom w:val="0"/>
      <w:divBdr>
        <w:top w:val="none" w:sz="0" w:space="0" w:color="auto"/>
        <w:left w:val="none" w:sz="0" w:space="0" w:color="auto"/>
        <w:bottom w:val="none" w:sz="0" w:space="0" w:color="auto"/>
        <w:right w:val="none" w:sz="0" w:space="0" w:color="auto"/>
      </w:divBdr>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HR33RHYHUWRF-4-2244</_dlc_DocId>
    <_dlc_DocIdUrl xmlns="c06861ca-3f08-4d07-bff7-bb15bac121f4">
      <Url>https://projects.qualcomm.com/sites/pentari/_layouts/15/DocIdRedir.aspx?ID=HR33RHYHUWRF-4-2244</Url>
      <Description>HR33RHYHUWRF-4-2244</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A1CC17-DCB8-4BBB-B1F7-C0875AC914C7}">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4.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5.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6.xml><?xml version="1.0" encoding="utf-8"?>
<ds:datastoreItem xmlns:ds="http://schemas.openxmlformats.org/officeDocument/2006/customXml" ds:itemID="{613B0825-FA5B-41DC-B7C7-3AD68484D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2597</Words>
  <Characters>14805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17368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Haitong</cp:lastModifiedBy>
  <cp:revision>39</cp:revision>
  <cp:lastPrinted>2003-09-26T19:29:00Z</cp:lastPrinted>
  <dcterms:created xsi:type="dcterms:W3CDTF">2017-03-23T21:29:00Z</dcterms:created>
  <dcterms:modified xsi:type="dcterms:W3CDTF">2017-03-25T04:32:00Z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HR33RHYHUWRF-13-111093</vt:lpwstr>
  </property>
  <property fmtid="{D5CDD505-2E9C-101B-9397-08002B2CF9AE}" pid="3" name="_dlc_DocIdItemGuid">
    <vt:lpwstr>a6096961-c94f-450d-b778-05210aa55c55</vt:lpwstr>
  </property>
  <property fmtid="{D5CDD505-2E9C-101B-9397-08002B2CF9AE}" pid="4" name="_dlc_DocIdUrl">
    <vt:lpwstr>https://projects.qualcomm.com/sites/pentari/_layouts/15/DocIdRedir.aspx?ID=HR33RHYHUWRF-13-111093, HR33RHYHUWRF-13-111093</vt:lpwstr>
  </property>
  <property fmtid="{D5CDD505-2E9C-101B-9397-08002B2CF9AE}" pid="5" name="ContentTypeId">
    <vt:lpwstr>0x010100BC29BFD66497B943AA3B102F0C7B1355</vt:lpwstr>
  </property>
</Properties>
</file>